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91F" w14:textId="7396459B" w:rsidR="00120E25" w:rsidRPr="000539BB" w:rsidRDefault="00120E25" w:rsidP="000539BB">
      <w:pPr>
        <w:jc w:val="center"/>
        <w:rPr>
          <w:rFonts w:ascii="UniCredit" w:hAnsi="UniCredit"/>
          <w:b/>
          <w:bCs/>
          <w:sz w:val="32"/>
          <w:szCs w:val="32"/>
          <w:u w:val="single"/>
        </w:rPr>
      </w:pPr>
      <w:r w:rsidRPr="000539BB">
        <w:rPr>
          <w:rFonts w:ascii="UniCredit" w:hAnsi="UniCredit"/>
          <w:b/>
          <w:bCs/>
          <w:sz w:val="32"/>
          <w:szCs w:val="32"/>
          <w:u w:val="single"/>
        </w:rPr>
        <w:t>C</w:t>
      </w:r>
      <w:r w:rsidR="00B61C1D" w:rsidRPr="000539BB">
        <w:rPr>
          <w:rFonts w:ascii="UniCredit" w:hAnsi="UniCredit"/>
          <w:b/>
          <w:bCs/>
          <w:sz w:val="32"/>
          <w:szCs w:val="32"/>
          <w:u w:val="single"/>
        </w:rPr>
        <w:t>redit</w:t>
      </w:r>
      <w:r w:rsidRPr="000539BB">
        <w:rPr>
          <w:rFonts w:ascii="UniCredit" w:hAnsi="UniCredit"/>
          <w:b/>
          <w:bCs/>
          <w:sz w:val="32"/>
          <w:szCs w:val="32"/>
          <w:u w:val="single"/>
        </w:rPr>
        <w:t xml:space="preserve"> O</w:t>
      </w:r>
      <w:r w:rsidR="00E144CB" w:rsidRPr="000539BB">
        <w:rPr>
          <w:rFonts w:ascii="UniCredit" w:hAnsi="UniCredit"/>
          <w:b/>
          <w:bCs/>
          <w:sz w:val="32"/>
          <w:szCs w:val="32"/>
          <w:u w:val="single"/>
        </w:rPr>
        <w:t>n</w:t>
      </w:r>
      <w:r w:rsidR="00B61C1D" w:rsidRPr="000539BB">
        <w:rPr>
          <w:rFonts w:ascii="UniCredit" w:hAnsi="UniCredit"/>
          <w:b/>
          <w:bCs/>
          <w:sz w:val="32"/>
          <w:szCs w:val="32"/>
          <w:u w:val="single"/>
        </w:rPr>
        <w:t>line</w:t>
      </w:r>
      <w:r w:rsidRPr="000539BB">
        <w:rPr>
          <w:rFonts w:ascii="UniCredit" w:hAnsi="UniCredit"/>
          <w:b/>
          <w:bCs/>
          <w:i/>
          <w:iCs/>
          <w:sz w:val="32"/>
          <w:szCs w:val="32"/>
          <w:u w:val="single"/>
        </w:rPr>
        <w:t xml:space="preserve"> </w:t>
      </w:r>
      <w:r w:rsidR="00B61C1D" w:rsidRPr="000539BB">
        <w:rPr>
          <w:rFonts w:ascii="UniCredit" w:hAnsi="UniCredit"/>
          <w:b/>
          <w:bCs/>
          <w:sz w:val="32"/>
          <w:szCs w:val="32"/>
          <w:u w:val="single"/>
        </w:rPr>
        <w:t xml:space="preserve">de la </w:t>
      </w:r>
      <w:r w:rsidRPr="000539BB">
        <w:rPr>
          <w:rFonts w:ascii="UniCredit" w:hAnsi="UniCredit"/>
          <w:b/>
          <w:bCs/>
          <w:sz w:val="32"/>
          <w:szCs w:val="32"/>
          <w:u w:val="single"/>
        </w:rPr>
        <w:t xml:space="preserve"> </w:t>
      </w:r>
      <w:hyperlink r:id="rId8" w:history="1">
        <w:r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>U</w:t>
        </w:r>
        <w:r w:rsidR="00B61C1D"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>niCredit</w:t>
        </w:r>
        <w:r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 xml:space="preserve"> C</w:t>
        </w:r>
        <w:r w:rsidR="00B61C1D"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>onsumer</w:t>
        </w:r>
        <w:r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 xml:space="preserve"> F</w:t>
        </w:r>
        <w:r w:rsidR="00B61C1D"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>inancing</w:t>
        </w:r>
        <w:r w:rsidRPr="000539BB">
          <w:rPr>
            <w:rStyle w:val="Hyperlink"/>
            <w:rFonts w:ascii="UniCredit" w:hAnsi="UniCredit"/>
            <w:b/>
            <w:bCs/>
            <w:sz w:val="32"/>
            <w:szCs w:val="32"/>
          </w:rPr>
          <w:t xml:space="preserve"> IFN S.A</w:t>
        </w:r>
      </w:hyperlink>
      <w:r w:rsidRPr="000539BB">
        <w:rPr>
          <w:rFonts w:ascii="UniCredit" w:hAnsi="UniCredit"/>
          <w:b/>
          <w:bCs/>
          <w:sz w:val="32"/>
          <w:szCs w:val="32"/>
          <w:u w:val="single"/>
        </w:rPr>
        <w:t>.</w:t>
      </w:r>
    </w:p>
    <w:p w14:paraId="69BCFBAD" w14:textId="1078D9FF" w:rsidR="00D51456" w:rsidRPr="00120E25" w:rsidRDefault="00D51456" w:rsidP="00120E25">
      <w:pPr>
        <w:rPr>
          <w:rFonts w:ascii="UniCredit" w:hAnsi="UniCredit"/>
          <w:sz w:val="20"/>
          <w:szCs w:val="20"/>
        </w:rPr>
      </w:pPr>
      <w:r>
        <w:rPr>
          <w:rFonts w:ascii="UniCredit" w:hAnsi="UniCredit"/>
          <w:b/>
          <w:bCs/>
          <w:noProof/>
          <w:sz w:val="20"/>
          <w:szCs w:val="20"/>
          <w:u w:val="single"/>
        </w:rPr>
        <w:drawing>
          <wp:inline distT="0" distB="0" distL="0" distR="0" wp14:anchorId="3AECCFBE" wp14:editId="2B73B1CD">
            <wp:extent cx="5943600" cy="628650"/>
            <wp:effectExtent l="0" t="0" r="0" b="0"/>
            <wp:docPr id="1602405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9EF5" w14:textId="77777777" w:rsidR="00077D35" w:rsidRPr="00B61C1D" w:rsidRDefault="00077D35" w:rsidP="00077D35">
      <w:pPr>
        <w:numPr>
          <w:ilvl w:val="0"/>
          <w:numId w:val="2"/>
        </w:numPr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Selectezi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num</w:t>
      </w:r>
      <w:r>
        <w:rPr>
          <w:rFonts w:ascii="UniCredit" w:hAnsi="UniCredit"/>
          <w:sz w:val="20"/>
          <w:szCs w:val="20"/>
        </w:rPr>
        <w:t>ă</w:t>
      </w:r>
      <w:r w:rsidRPr="00B61C1D">
        <w:rPr>
          <w:rFonts w:ascii="UniCredit" w:hAnsi="UniCredit"/>
          <w:sz w:val="20"/>
          <w:szCs w:val="20"/>
        </w:rPr>
        <w:t>rul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rate </w:t>
      </w:r>
      <w:proofErr w:type="spellStart"/>
      <w:r w:rsidRPr="00B61C1D">
        <w:rPr>
          <w:rFonts w:ascii="UniCredit" w:hAnsi="UniCredit"/>
          <w:sz w:val="20"/>
          <w:szCs w:val="20"/>
        </w:rPr>
        <w:t>dorit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oferta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 </w:t>
      </w:r>
      <w:r w:rsidRPr="00B61C1D">
        <w:rPr>
          <w:rFonts w:ascii="UniCredit" w:hAnsi="UniCredit"/>
          <w:b/>
          <w:bCs/>
          <w:sz w:val="20"/>
          <w:szCs w:val="20"/>
        </w:rPr>
        <w:t xml:space="preserve">Credit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Partener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100% Online</w:t>
      </w:r>
      <w:r w:rsidRPr="00B61C1D">
        <w:rPr>
          <w:rFonts w:ascii="UniCredit" w:hAnsi="UniCredit"/>
          <w:sz w:val="20"/>
          <w:szCs w:val="20"/>
        </w:rPr>
        <w:t>;</w:t>
      </w:r>
    </w:p>
    <w:p w14:paraId="09B1E5FD" w14:textId="77777777" w:rsidR="00077D35" w:rsidRPr="00B61C1D" w:rsidRDefault="00077D35" w:rsidP="00077D35">
      <w:pPr>
        <w:numPr>
          <w:ilvl w:val="0"/>
          <w:numId w:val="2"/>
        </w:numPr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Vei fi </w:t>
      </w:r>
      <w:proofErr w:type="spellStart"/>
      <w:r w:rsidRPr="00B61C1D">
        <w:rPr>
          <w:rFonts w:ascii="UniCredit" w:hAnsi="UniCredit"/>
          <w:sz w:val="20"/>
          <w:szCs w:val="20"/>
        </w:rPr>
        <w:t>direcționat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către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platforma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UniCredit Consumer Financing pentru </w:t>
      </w:r>
      <w:proofErr w:type="spellStart"/>
      <w:r w:rsidRPr="00B61C1D">
        <w:rPr>
          <w:rFonts w:ascii="UniCredit" w:hAnsi="UniCredit"/>
          <w:sz w:val="20"/>
          <w:szCs w:val="20"/>
        </w:rPr>
        <w:t>identificare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online;</w:t>
      </w:r>
    </w:p>
    <w:p w14:paraId="08D0CB3E" w14:textId="77777777" w:rsidR="00077D35" w:rsidRPr="00B61C1D" w:rsidRDefault="00077D35" w:rsidP="00077D35">
      <w:pPr>
        <w:numPr>
          <w:ilvl w:val="0"/>
          <w:numId w:val="2"/>
        </w:numPr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Completezi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datele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necesare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analizei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semnezi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documentele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la </w:t>
      </w:r>
      <w:proofErr w:type="spellStart"/>
      <w:r w:rsidRPr="00B61C1D">
        <w:rPr>
          <w:rFonts w:ascii="UniCredit" w:hAnsi="UniCredit"/>
          <w:sz w:val="20"/>
          <w:szCs w:val="20"/>
        </w:rPr>
        <w:t>distanță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digital, cu </w:t>
      </w:r>
      <w:proofErr w:type="spellStart"/>
      <w:r w:rsidRPr="00B61C1D">
        <w:rPr>
          <w:rFonts w:ascii="UniCredit" w:hAnsi="UniCredit"/>
          <w:sz w:val="20"/>
          <w:szCs w:val="20"/>
        </w:rPr>
        <w:t>semnătură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electronic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calificată</w:t>
      </w:r>
      <w:proofErr w:type="spellEnd"/>
      <w:r w:rsidRPr="00B61C1D">
        <w:rPr>
          <w:rFonts w:ascii="UniCredit" w:hAnsi="UniCredit"/>
          <w:sz w:val="20"/>
          <w:szCs w:val="20"/>
        </w:rPr>
        <w:t>.</w:t>
      </w:r>
    </w:p>
    <w:p w14:paraId="4D11C311" w14:textId="77777777" w:rsidR="00077D35" w:rsidRPr="00B61C1D" w:rsidRDefault="00077D35" w:rsidP="00077D35">
      <w:pPr>
        <w:numPr>
          <w:ilvl w:val="0"/>
          <w:numId w:val="2"/>
        </w:numPr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În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cazul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aprobării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creditului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</w:t>
      </w:r>
      <w:proofErr w:type="spellStart"/>
      <w:r w:rsidRPr="00B61C1D">
        <w:rPr>
          <w:rFonts w:ascii="UniCredit" w:hAnsi="UniCredit"/>
          <w:sz w:val="20"/>
          <w:szCs w:val="20"/>
        </w:rPr>
        <w:t>bunurile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selectate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îți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vor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fi </w:t>
      </w:r>
      <w:proofErr w:type="spellStart"/>
      <w:r w:rsidRPr="00B61C1D">
        <w:rPr>
          <w:rFonts w:ascii="UniCredit" w:hAnsi="UniCredit"/>
          <w:sz w:val="20"/>
          <w:szCs w:val="20"/>
        </w:rPr>
        <w:t>livrate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la </w:t>
      </w:r>
      <w:proofErr w:type="spellStart"/>
      <w:r w:rsidRPr="00B61C1D">
        <w:rPr>
          <w:rFonts w:ascii="UniCredit" w:hAnsi="UniCredit"/>
          <w:sz w:val="20"/>
          <w:szCs w:val="20"/>
        </w:rPr>
        <w:t>adresa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din </w:t>
      </w:r>
      <w:proofErr w:type="spellStart"/>
      <w:r w:rsidRPr="00B61C1D">
        <w:rPr>
          <w:rFonts w:ascii="UniCredit" w:hAnsi="UniCredit"/>
          <w:sz w:val="20"/>
          <w:szCs w:val="20"/>
        </w:rPr>
        <w:t>România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indicată</w:t>
      </w:r>
      <w:proofErr w:type="spellEnd"/>
      <w:r w:rsidRPr="00B61C1D">
        <w:rPr>
          <w:rFonts w:ascii="UniCredit" w:hAnsi="UniCredit"/>
          <w:sz w:val="20"/>
          <w:szCs w:val="20"/>
        </w:rPr>
        <w:t>.</w:t>
      </w:r>
      <w:r w:rsidRPr="00B61C1D">
        <w:rPr>
          <w:rFonts w:ascii="UniCredit" w:hAnsi="UniCredit"/>
          <w:sz w:val="20"/>
          <w:szCs w:val="20"/>
        </w:rPr>
        <w:br/>
        <w:t xml:space="preserve">Totul online, </w:t>
      </w:r>
      <w:proofErr w:type="spellStart"/>
      <w:r w:rsidRPr="00B61C1D">
        <w:rPr>
          <w:rFonts w:ascii="UniCredit" w:hAnsi="UniCredit"/>
          <w:sz w:val="20"/>
          <w:szCs w:val="20"/>
        </w:rPr>
        <w:t>f</w:t>
      </w:r>
      <w:r>
        <w:rPr>
          <w:rFonts w:ascii="UniCredit" w:hAnsi="UniCredit"/>
          <w:sz w:val="20"/>
          <w:szCs w:val="20"/>
        </w:rPr>
        <w:t>ă</w:t>
      </w:r>
      <w:r w:rsidRPr="00B61C1D">
        <w:rPr>
          <w:rFonts w:ascii="UniCredit" w:hAnsi="UniCredit"/>
          <w:sz w:val="20"/>
          <w:szCs w:val="20"/>
        </w:rPr>
        <w:t>r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drumuri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la </w:t>
      </w:r>
      <w:proofErr w:type="spellStart"/>
      <w:r w:rsidRPr="00B61C1D">
        <w:rPr>
          <w:rFonts w:ascii="UniCredit" w:hAnsi="UniCredit"/>
          <w:sz w:val="20"/>
          <w:szCs w:val="20"/>
        </w:rPr>
        <w:t>banc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>!</w:t>
      </w:r>
    </w:p>
    <w:p w14:paraId="3D755032" w14:textId="77777777" w:rsidR="00077D35" w:rsidRPr="008C028B" w:rsidRDefault="00077D35" w:rsidP="00077D35">
      <w:pPr>
        <w:rPr>
          <w:rFonts w:ascii="UniCredit" w:hAnsi="UniCredit"/>
          <w:b/>
          <w:bCs/>
          <w:sz w:val="20"/>
          <w:szCs w:val="20"/>
        </w:rPr>
      </w:pPr>
      <w:r w:rsidRPr="00120E25">
        <w:rPr>
          <w:rFonts w:ascii="UniCredit" w:hAnsi="UniCredit"/>
          <w:sz w:val="20"/>
          <w:szCs w:val="20"/>
        </w:rPr>
        <w:t> </w:t>
      </w:r>
      <w:r>
        <w:rPr>
          <w:rFonts w:ascii="UniCredit" w:hAnsi="UniCredit"/>
          <w:b/>
          <w:bCs/>
          <w:sz w:val="20"/>
          <w:szCs w:val="20"/>
        </w:rPr>
        <w:t xml:space="preserve">De </w:t>
      </w:r>
      <w:proofErr w:type="spellStart"/>
      <w:r>
        <w:rPr>
          <w:rFonts w:ascii="UniCredit" w:hAnsi="UniCredit"/>
          <w:b/>
          <w:bCs/>
          <w:sz w:val="20"/>
          <w:szCs w:val="20"/>
        </w:rPr>
        <w:t>ce</w:t>
      </w:r>
      <w:proofErr w:type="spellEnd"/>
      <w:r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>
        <w:rPr>
          <w:rFonts w:ascii="UniCredit" w:hAnsi="UniCredit"/>
          <w:b/>
          <w:bCs/>
          <w:sz w:val="20"/>
          <w:szCs w:val="20"/>
        </w:rPr>
        <w:t>este</w:t>
      </w:r>
      <w:proofErr w:type="spellEnd"/>
      <w:r w:rsidRPr="008C028B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8C028B">
        <w:rPr>
          <w:rFonts w:ascii="UniCredit" w:hAnsi="UniCredit"/>
          <w:b/>
          <w:bCs/>
          <w:sz w:val="20"/>
          <w:szCs w:val="20"/>
        </w:rPr>
        <w:t>ne</w:t>
      </w:r>
      <w:r>
        <w:rPr>
          <w:rFonts w:ascii="UniCredit" w:hAnsi="UniCredit"/>
          <w:b/>
          <w:bCs/>
          <w:sz w:val="20"/>
          <w:szCs w:val="20"/>
        </w:rPr>
        <w:t>voi</w:t>
      </w:r>
      <w:r w:rsidRPr="008C028B">
        <w:rPr>
          <w:rFonts w:ascii="UniCredit" w:hAnsi="UniCredit"/>
          <w:b/>
          <w:bCs/>
          <w:sz w:val="20"/>
          <w:szCs w:val="20"/>
        </w:rPr>
        <w:t>e</w:t>
      </w:r>
      <w:proofErr w:type="spellEnd"/>
      <w:r w:rsidRPr="008C028B">
        <w:rPr>
          <w:rFonts w:ascii="UniCredit" w:hAnsi="UniCredit"/>
          <w:b/>
          <w:bCs/>
          <w:sz w:val="20"/>
          <w:szCs w:val="20"/>
        </w:rPr>
        <w:t>?</w:t>
      </w:r>
    </w:p>
    <w:p w14:paraId="58927304" w14:textId="77777777" w:rsidR="00077D35" w:rsidRDefault="00077D35" w:rsidP="00077D35">
      <w:pPr>
        <w:numPr>
          <w:ilvl w:val="0"/>
          <w:numId w:val="3"/>
        </w:numPr>
        <w:rPr>
          <w:rFonts w:ascii="UniCredit" w:hAnsi="UniCredit"/>
          <w:sz w:val="20"/>
          <w:szCs w:val="20"/>
        </w:rPr>
      </w:pPr>
      <w:r>
        <w:rPr>
          <w:rFonts w:ascii="UniCredit" w:hAnsi="UniCredit"/>
          <w:sz w:val="20"/>
          <w:szCs w:val="20"/>
        </w:rPr>
        <w:t xml:space="preserve">Un </w:t>
      </w:r>
      <w:proofErr w:type="spellStart"/>
      <w:r w:rsidRPr="008F360F">
        <w:rPr>
          <w:rFonts w:ascii="UniCredit" w:hAnsi="UniCredit"/>
          <w:b/>
          <w:bCs/>
          <w:sz w:val="20"/>
          <w:szCs w:val="20"/>
        </w:rPr>
        <w:t>telefon</w:t>
      </w:r>
      <w:proofErr w:type="spellEnd"/>
      <w:r w:rsidRPr="008F360F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8F360F">
        <w:rPr>
          <w:rFonts w:ascii="UniCredit" w:hAnsi="UniCredit"/>
          <w:b/>
          <w:bCs/>
          <w:sz w:val="20"/>
          <w:szCs w:val="20"/>
        </w:rPr>
        <w:t>mobil</w:t>
      </w:r>
      <w:proofErr w:type="spellEnd"/>
      <w:r>
        <w:rPr>
          <w:rFonts w:ascii="UniCredit" w:hAnsi="UniCredit"/>
          <w:sz w:val="20"/>
          <w:szCs w:val="20"/>
        </w:rPr>
        <w:t xml:space="preserve"> (cu </w:t>
      </w:r>
      <w:proofErr w:type="spellStart"/>
      <w:r>
        <w:rPr>
          <w:rFonts w:ascii="UniCredit" w:hAnsi="UniCredit"/>
          <w:sz w:val="20"/>
          <w:szCs w:val="20"/>
        </w:rPr>
        <w:t>ajutorul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c</w:t>
      </w:r>
      <w:r w:rsidRPr="008C028B">
        <w:rPr>
          <w:rFonts w:ascii="UniCredit" w:hAnsi="UniCredit"/>
          <w:sz w:val="20"/>
          <w:szCs w:val="20"/>
        </w:rPr>
        <w:t>ă</w:t>
      </w:r>
      <w:r>
        <w:rPr>
          <w:rFonts w:ascii="UniCredit" w:hAnsi="UniCredit"/>
          <w:sz w:val="20"/>
          <w:szCs w:val="20"/>
        </w:rPr>
        <w:t>ruia</w:t>
      </w:r>
      <w:proofErr w:type="spellEnd"/>
      <w:r>
        <w:rPr>
          <w:rFonts w:ascii="UniCredit" w:hAnsi="UniCredit"/>
          <w:sz w:val="20"/>
          <w:szCs w:val="20"/>
        </w:rPr>
        <w:t xml:space="preserve"> se </w:t>
      </w:r>
      <w:proofErr w:type="spellStart"/>
      <w:r>
        <w:rPr>
          <w:rFonts w:ascii="UniCredit" w:hAnsi="UniCredit"/>
          <w:sz w:val="20"/>
          <w:szCs w:val="20"/>
        </w:rPr>
        <w:t>va</w:t>
      </w:r>
      <w:proofErr w:type="spellEnd"/>
      <w:r>
        <w:rPr>
          <w:rFonts w:ascii="UniCredit" w:hAnsi="UniCredit"/>
          <w:sz w:val="20"/>
          <w:szCs w:val="20"/>
        </w:rPr>
        <w:t xml:space="preserve"> face </w:t>
      </w:r>
      <w:proofErr w:type="spellStart"/>
      <w:r>
        <w:rPr>
          <w:rFonts w:ascii="UniCredit" w:hAnsi="UniCredit"/>
          <w:sz w:val="20"/>
          <w:szCs w:val="20"/>
        </w:rPr>
        <w:t>identificarea</w:t>
      </w:r>
      <w:proofErr w:type="spellEnd"/>
      <w:r>
        <w:rPr>
          <w:rFonts w:ascii="UniCredit" w:hAnsi="UniCredit"/>
          <w:sz w:val="20"/>
          <w:szCs w:val="20"/>
        </w:rPr>
        <w:t xml:space="preserve"> video </w:t>
      </w:r>
      <w:proofErr w:type="spellStart"/>
      <w:r w:rsidRPr="00B61C1D">
        <w:rPr>
          <w:rFonts w:ascii="UniCredit" w:hAnsi="UniCredit"/>
          <w:sz w:val="20"/>
          <w:szCs w:val="20"/>
        </w:rPr>
        <w:t>și</w:t>
      </w:r>
      <w:proofErr w:type="spellEnd"/>
      <w:r>
        <w:rPr>
          <w:rFonts w:ascii="UniCredit" w:hAnsi="UniCredit"/>
          <w:sz w:val="20"/>
          <w:szCs w:val="20"/>
        </w:rPr>
        <w:t xml:space="preserve"> selfie)</w:t>
      </w:r>
    </w:p>
    <w:p w14:paraId="05534D07" w14:textId="77777777" w:rsidR="00077D35" w:rsidRPr="008C028B" w:rsidRDefault="00077D35" w:rsidP="00077D35">
      <w:pPr>
        <w:numPr>
          <w:ilvl w:val="0"/>
          <w:numId w:val="3"/>
        </w:numPr>
        <w:rPr>
          <w:rFonts w:ascii="UniCredit" w:hAnsi="UniCredit"/>
          <w:sz w:val="20"/>
          <w:szCs w:val="20"/>
        </w:rPr>
      </w:pPr>
      <w:r w:rsidRPr="008F360F">
        <w:rPr>
          <w:rFonts w:ascii="UniCredit" w:hAnsi="UniCredit"/>
          <w:b/>
          <w:bCs/>
          <w:sz w:val="20"/>
          <w:szCs w:val="20"/>
        </w:rPr>
        <w:t xml:space="preserve">Carte de </w:t>
      </w:r>
      <w:proofErr w:type="spellStart"/>
      <w:r w:rsidRPr="008F360F">
        <w:rPr>
          <w:rFonts w:ascii="UniCredit" w:hAnsi="UniCredit"/>
          <w:b/>
          <w:bCs/>
          <w:sz w:val="20"/>
          <w:szCs w:val="20"/>
        </w:rPr>
        <w:t>identitate</w:t>
      </w:r>
      <w:proofErr w:type="spellEnd"/>
      <w:r w:rsidRPr="008F360F">
        <w:rPr>
          <w:rFonts w:ascii="UniCredit" w:hAnsi="UniCredit"/>
          <w:b/>
          <w:bCs/>
          <w:sz w:val="20"/>
          <w:szCs w:val="20"/>
        </w:rPr>
        <w:t xml:space="preserve">, </w:t>
      </w:r>
      <w:proofErr w:type="spellStart"/>
      <w:r w:rsidRPr="008F360F">
        <w:rPr>
          <w:rFonts w:ascii="UniCredit" w:hAnsi="UniCredit"/>
          <w:b/>
          <w:bCs/>
          <w:sz w:val="20"/>
          <w:szCs w:val="20"/>
        </w:rPr>
        <w:t>în</w:t>
      </w:r>
      <w:proofErr w:type="spellEnd"/>
      <w:r w:rsidRPr="008F360F">
        <w:rPr>
          <w:rFonts w:ascii="UniCredit" w:hAnsi="UniCredit"/>
          <w:b/>
          <w:bCs/>
          <w:sz w:val="20"/>
          <w:szCs w:val="20"/>
        </w:rPr>
        <w:t xml:space="preserve"> original, </w:t>
      </w:r>
      <w:proofErr w:type="spellStart"/>
      <w:r w:rsidRPr="008F360F">
        <w:rPr>
          <w:rFonts w:ascii="UniCredit" w:hAnsi="UniCredit"/>
          <w:b/>
          <w:bCs/>
          <w:sz w:val="20"/>
          <w:szCs w:val="20"/>
        </w:rPr>
        <w:t>valabilă</w:t>
      </w:r>
      <w:proofErr w:type="spellEnd"/>
    </w:p>
    <w:p w14:paraId="67BEC096" w14:textId="77777777" w:rsidR="00077D35" w:rsidRDefault="00077D35" w:rsidP="00077D35">
      <w:pPr>
        <w:numPr>
          <w:ilvl w:val="0"/>
          <w:numId w:val="3"/>
        </w:numPr>
        <w:rPr>
          <w:rFonts w:ascii="UniCredit" w:hAnsi="UniCredit"/>
          <w:sz w:val="20"/>
          <w:szCs w:val="20"/>
        </w:rPr>
      </w:pPr>
      <w:proofErr w:type="spellStart"/>
      <w:r w:rsidRPr="008F360F">
        <w:rPr>
          <w:rFonts w:ascii="UniCredit" w:hAnsi="UniCredit"/>
          <w:b/>
          <w:bCs/>
          <w:sz w:val="20"/>
          <w:szCs w:val="20"/>
        </w:rPr>
        <w:t>Adresă</w:t>
      </w:r>
      <w:proofErr w:type="spellEnd"/>
      <w:r w:rsidRPr="008F360F">
        <w:rPr>
          <w:rFonts w:ascii="UniCredit" w:hAnsi="UniCredit"/>
          <w:b/>
          <w:bCs/>
          <w:sz w:val="20"/>
          <w:szCs w:val="20"/>
        </w:rPr>
        <w:t xml:space="preserve"> de e-mail</w:t>
      </w:r>
      <w:r>
        <w:rPr>
          <w:rFonts w:ascii="UniCredit" w:hAnsi="UniCredit"/>
          <w:sz w:val="20"/>
          <w:szCs w:val="20"/>
        </w:rPr>
        <w:t xml:space="preserve"> (</w:t>
      </w:r>
      <w:proofErr w:type="spellStart"/>
      <w:r>
        <w:rPr>
          <w:rFonts w:ascii="UniCredit" w:hAnsi="UniCredit"/>
          <w:sz w:val="20"/>
          <w:szCs w:val="20"/>
        </w:rPr>
        <w:t>unde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vei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primi</w:t>
      </w:r>
      <w:proofErr w:type="spellEnd"/>
      <w:r>
        <w:rPr>
          <w:rFonts w:ascii="UniCredit" w:hAnsi="UniCredit"/>
          <w:sz w:val="20"/>
          <w:szCs w:val="20"/>
        </w:rPr>
        <w:t xml:space="preserve"> status </w:t>
      </w:r>
      <w:proofErr w:type="spellStart"/>
      <w:r>
        <w:rPr>
          <w:rFonts w:ascii="UniCredit" w:hAnsi="UniCredit"/>
          <w:sz w:val="20"/>
          <w:szCs w:val="20"/>
        </w:rPr>
        <w:t>actualizat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privind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decizia</w:t>
      </w:r>
      <w:proofErr w:type="spellEnd"/>
      <w:r>
        <w:rPr>
          <w:rFonts w:ascii="UniCredit" w:hAnsi="UniCredit"/>
          <w:sz w:val="20"/>
          <w:szCs w:val="20"/>
        </w:rPr>
        <w:t xml:space="preserve"> de </w:t>
      </w:r>
      <w:proofErr w:type="spellStart"/>
      <w:r>
        <w:rPr>
          <w:rFonts w:ascii="UniCredit" w:hAnsi="UniCredit"/>
          <w:sz w:val="20"/>
          <w:szCs w:val="20"/>
        </w:rPr>
        <w:t>creditare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și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unde</w:t>
      </w:r>
      <w:proofErr w:type="spellEnd"/>
      <w:r>
        <w:rPr>
          <w:rFonts w:ascii="UniCredit" w:hAnsi="UniCredit"/>
          <w:sz w:val="20"/>
          <w:szCs w:val="20"/>
        </w:rPr>
        <w:t xml:space="preserve">, ulterior </w:t>
      </w:r>
      <w:proofErr w:type="spellStart"/>
      <w:r>
        <w:rPr>
          <w:rFonts w:ascii="UniCredit" w:hAnsi="UniCredit"/>
          <w:sz w:val="20"/>
          <w:szCs w:val="20"/>
        </w:rPr>
        <w:t>vei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primi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toat</w:t>
      </w:r>
      <w:r w:rsidRPr="008C028B">
        <w:rPr>
          <w:rFonts w:ascii="UniCredit" w:hAnsi="UniCredit"/>
          <w:sz w:val="20"/>
          <w:szCs w:val="20"/>
        </w:rPr>
        <w:t>ă</w:t>
      </w:r>
      <w:proofErr w:type="spellEnd"/>
      <w:r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documenta</w:t>
      </w:r>
      <w:r w:rsidRPr="00B61C1D">
        <w:rPr>
          <w:rFonts w:ascii="UniCredit" w:hAnsi="UniCredit"/>
          <w:sz w:val="20"/>
          <w:szCs w:val="20"/>
        </w:rPr>
        <w:t>ț</w:t>
      </w:r>
      <w:r>
        <w:rPr>
          <w:rFonts w:ascii="UniCredit" w:hAnsi="UniCredit"/>
          <w:sz w:val="20"/>
          <w:szCs w:val="20"/>
        </w:rPr>
        <w:t>ia</w:t>
      </w:r>
      <w:proofErr w:type="spellEnd"/>
      <w:r>
        <w:rPr>
          <w:rFonts w:ascii="UniCredit" w:hAnsi="UniCredit"/>
          <w:sz w:val="20"/>
          <w:szCs w:val="20"/>
        </w:rPr>
        <w:t xml:space="preserve"> – </w:t>
      </w:r>
      <w:proofErr w:type="spellStart"/>
      <w:r>
        <w:rPr>
          <w:rFonts w:ascii="UniCredit" w:hAnsi="UniCredit"/>
          <w:sz w:val="20"/>
          <w:szCs w:val="20"/>
        </w:rPr>
        <w:t>aceasta</w:t>
      </w:r>
      <w:proofErr w:type="spellEnd"/>
      <w:r>
        <w:rPr>
          <w:rFonts w:ascii="UniCredit" w:hAnsi="UniCredit"/>
          <w:sz w:val="20"/>
          <w:szCs w:val="20"/>
        </w:rPr>
        <w:t xml:space="preserve"> se </w:t>
      </w:r>
      <w:proofErr w:type="spellStart"/>
      <w:r>
        <w:rPr>
          <w:rFonts w:ascii="UniCredit" w:hAnsi="UniCredit"/>
          <w:sz w:val="20"/>
          <w:szCs w:val="20"/>
        </w:rPr>
        <w:t>semneaz</w:t>
      </w:r>
      <w:r w:rsidRPr="008C028B">
        <w:rPr>
          <w:rFonts w:ascii="UniCredit" w:hAnsi="UniCredit"/>
          <w:sz w:val="20"/>
          <w:szCs w:val="20"/>
        </w:rPr>
        <w:t>ă</w:t>
      </w:r>
      <w:proofErr w:type="spellEnd"/>
      <w:r>
        <w:rPr>
          <w:rFonts w:ascii="UniCredit" w:hAnsi="UniCredit"/>
          <w:sz w:val="20"/>
          <w:szCs w:val="20"/>
        </w:rPr>
        <w:t xml:space="preserve"> electronic)</w:t>
      </w:r>
    </w:p>
    <w:p w14:paraId="1BEF196E" w14:textId="77777777" w:rsidR="00077D35" w:rsidRPr="00B61C1D" w:rsidRDefault="00077D35" w:rsidP="00077D35">
      <w:pPr>
        <w:rPr>
          <w:rFonts w:ascii="UniCredit" w:hAnsi="UniCredit"/>
          <w:b/>
          <w:bCs/>
          <w:sz w:val="20"/>
          <w:szCs w:val="20"/>
        </w:rPr>
      </w:pP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Poți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solicita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un credit online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acordat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de UniCredit Consumer Financing,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dacă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>:</w:t>
      </w:r>
    </w:p>
    <w:p w14:paraId="3EAF49C2" w14:textId="77777777" w:rsidR="00077D35" w:rsidRPr="00B61C1D" w:rsidRDefault="00077D35" w:rsidP="00077D35">
      <w:pPr>
        <w:numPr>
          <w:ilvl w:val="0"/>
          <w:numId w:val="6"/>
        </w:numPr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ai </w:t>
      </w:r>
      <w:proofErr w:type="spellStart"/>
      <w:r>
        <w:rPr>
          <w:rFonts w:ascii="UniCredit" w:hAnsi="UniCredit"/>
          <w:sz w:val="20"/>
          <w:szCs w:val="20"/>
        </w:rPr>
        <w:t>în</w:t>
      </w:r>
      <w:r w:rsidRPr="00B61C1D">
        <w:rPr>
          <w:rFonts w:ascii="UniCredit" w:hAnsi="UniCredit"/>
          <w:sz w:val="20"/>
          <w:szCs w:val="20"/>
        </w:rPr>
        <w:t>tre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18 </w:t>
      </w:r>
      <w:proofErr w:type="spellStart"/>
      <w:r w:rsidRPr="00B61C1D">
        <w:rPr>
          <w:rFonts w:ascii="UniCredit" w:hAnsi="UniCredit"/>
          <w:sz w:val="20"/>
          <w:szCs w:val="20"/>
        </w:rPr>
        <w:t>si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75 de ani (</w:t>
      </w:r>
      <w:proofErr w:type="spellStart"/>
      <w:r w:rsidRPr="00B61C1D">
        <w:rPr>
          <w:rFonts w:ascii="UniCredit" w:hAnsi="UniCredit"/>
          <w:sz w:val="20"/>
          <w:szCs w:val="20"/>
        </w:rPr>
        <w:t>v</w:t>
      </w:r>
      <w:r>
        <w:rPr>
          <w:rFonts w:ascii="UniCredit" w:hAnsi="UniCredit"/>
          <w:sz w:val="20"/>
          <w:szCs w:val="20"/>
        </w:rPr>
        <w:t>â</w:t>
      </w:r>
      <w:r w:rsidRPr="00B61C1D">
        <w:rPr>
          <w:rFonts w:ascii="UniCredit" w:hAnsi="UniCredit"/>
          <w:sz w:val="20"/>
          <w:szCs w:val="20"/>
        </w:rPr>
        <w:t>rsta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</w:t>
      </w:r>
      <w:r>
        <w:rPr>
          <w:rFonts w:ascii="UniCredit" w:hAnsi="UniCredit"/>
          <w:sz w:val="20"/>
          <w:szCs w:val="20"/>
        </w:rPr>
        <w:t>â</w:t>
      </w:r>
      <w:r w:rsidRPr="00B61C1D">
        <w:rPr>
          <w:rFonts w:ascii="UniCredit" w:hAnsi="UniCredit"/>
          <w:sz w:val="20"/>
          <w:szCs w:val="20"/>
        </w:rPr>
        <w:t>n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la care </w:t>
      </w:r>
      <w:proofErr w:type="spellStart"/>
      <w:r w:rsidRPr="00B61C1D">
        <w:rPr>
          <w:rFonts w:ascii="UniCredit" w:hAnsi="UniCredit"/>
          <w:sz w:val="20"/>
          <w:szCs w:val="20"/>
        </w:rPr>
        <w:t>creditul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trebuie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fie </w:t>
      </w:r>
      <w:proofErr w:type="spellStart"/>
      <w:r w:rsidRPr="00B61C1D">
        <w:rPr>
          <w:rFonts w:ascii="UniCredit" w:hAnsi="UniCredit"/>
          <w:sz w:val="20"/>
          <w:szCs w:val="20"/>
        </w:rPr>
        <w:t>rambursat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ntregime</w:t>
      </w:r>
      <w:proofErr w:type="spellEnd"/>
      <w:r w:rsidRPr="00B61C1D">
        <w:rPr>
          <w:rFonts w:ascii="UniCredit" w:hAnsi="UniCredit"/>
          <w:sz w:val="20"/>
          <w:szCs w:val="20"/>
        </w:rPr>
        <w:t>).</w:t>
      </w:r>
    </w:p>
    <w:p w14:paraId="65AD652D" w14:textId="77777777" w:rsidR="00077D35" w:rsidRPr="00B61C1D" w:rsidRDefault="00077D35" w:rsidP="00077D35">
      <w:pPr>
        <w:numPr>
          <w:ilvl w:val="0"/>
          <w:numId w:val="6"/>
        </w:numPr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ești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cet</w:t>
      </w:r>
      <w:r>
        <w:rPr>
          <w:rFonts w:ascii="UniCredit" w:hAnsi="UniCredit"/>
          <w:sz w:val="20"/>
          <w:szCs w:val="20"/>
        </w:rPr>
        <w:t>ăț</w:t>
      </w:r>
      <w:r w:rsidRPr="00B61C1D">
        <w:rPr>
          <w:rFonts w:ascii="UniCredit" w:hAnsi="UniCredit"/>
          <w:sz w:val="20"/>
          <w:szCs w:val="20"/>
        </w:rPr>
        <w:t>ean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rom</w:t>
      </w:r>
      <w:r>
        <w:rPr>
          <w:rFonts w:ascii="UniCredit" w:hAnsi="UniCredit"/>
          <w:sz w:val="20"/>
          <w:szCs w:val="20"/>
        </w:rPr>
        <w:t>â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</w:t>
      </w:r>
      <w:proofErr w:type="spellStart"/>
      <w:r w:rsidRPr="00B61C1D">
        <w:rPr>
          <w:rFonts w:ascii="UniCredit" w:hAnsi="UniCredit"/>
          <w:sz w:val="20"/>
          <w:szCs w:val="20"/>
        </w:rPr>
        <w:t>n</w:t>
      </w:r>
      <w:r>
        <w:rPr>
          <w:rFonts w:ascii="UniCredit" w:hAnsi="UniCredit"/>
          <w:sz w:val="20"/>
          <w:szCs w:val="20"/>
        </w:rPr>
        <w:t>ă</w:t>
      </w:r>
      <w:r w:rsidRPr="00B61C1D">
        <w:rPr>
          <w:rFonts w:ascii="UniCredit" w:hAnsi="UniCredit"/>
          <w:sz w:val="20"/>
          <w:szCs w:val="20"/>
        </w:rPr>
        <w:t>scut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rezident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Rom</w:t>
      </w:r>
      <w:r>
        <w:rPr>
          <w:rFonts w:ascii="UniCredit" w:hAnsi="UniCredit"/>
          <w:sz w:val="20"/>
          <w:szCs w:val="20"/>
        </w:rPr>
        <w:t>â</w:t>
      </w:r>
      <w:r w:rsidRPr="00B61C1D">
        <w:rPr>
          <w:rFonts w:ascii="UniCredit" w:hAnsi="UniCredit"/>
          <w:sz w:val="20"/>
          <w:szCs w:val="20"/>
        </w:rPr>
        <w:t>nia</w:t>
      </w:r>
      <w:proofErr w:type="spellEnd"/>
      <w:r w:rsidRPr="00B61C1D">
        <w:rPr>
          <w:rFonts w:ascii="UniCredit" w:hAnsi="UniCredit"/>
          <w:sz w:val="20"/>
          <w:szCs w:val="20"/>
        </w:rPr>
        <w:t>.</w:t>
      </w:r>
    </w:p>
    <w:p w14:paraId="480F570C" w14:textId="77777777" w:rsidR="00077D35" w:rsidRPr="00B61C1D" w:rsidRDefault="00077D35" w:rsidP="00077D35">
      <w:pPr>
        <w:numPr>
          <w:ilvl w:val="0"/>
          <w:numId w:val="6"/>
        </w:numPr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veniturile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tale pot fi </w:t>
      </w:r>
      <w:proofErr w:type="spellStart"/>
      <w:r w:rsidRPr="00B61C1D">
        <w:rPr>
          <w:rFonts w:ascii="UniCredit" w:hAnsi="UniCredit"/>
          <w:sz w:val="20"/>
          <w:szCs w:val="20"/>
        </w:rPr>
        <w:t>interogate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în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baza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date ANAF*.</w:t>
      </w:r>
    </w:p>
    <w:p w14:paraId="0F8B5030" w14:textId="77777777" w:rsidR="00077D35" w:rsidRPr="00B61C1D" w:rsidRDefault="00077D35" w:rsidP="00077D35">
      <w:p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>*</w:t>
      </w:r>
      <w:proofErr w:type="spellStart"/>
      <w:r w:rsidRPr="00B61C1D">
        <w:rPr>
          <w:rFonts w:ascii="UniCredit" w:hAnsi="UniCredit"/>
          <w:sz w:val="20"/>
          <w:szCs w:val="20"/>
        </w:rPr>
        <w:t>Aplicabil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pentru </w:t>
      </w:r>
      <w:proofErr w:type="spellStart"/>
      <w:r w:rsidRPr="00B61C1D">
        <w:rPr>
          <w:rFonts w:ascii="UniCredit" w:hAnsi="UniCredit"/>
          <w:sz w:val="20"/>
          <w:szCs w:val="20"/>
        </w:rPr>
        <w:t>categoriile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venituri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(cu </w:t>
      </w:r>
      <w:proofErr w:type="spellStart"/>
      <w:r w:rsidRPr="00B61C1D">
        <w:rPr>
          <w:rFonts w:ascii="UniCredit" w:hAnsi="UniCredit"/>
          <w:sz w:val="20"/>
          <w:szCs w:val="20"/>
        </w:rPr>
        <w:t>titlu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exemplu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</w:t>
      </w:r>
      <w:proofErr w:type="spellStart"/>
      <w:r w:rsidRPr="00B61C1D">
        <w:rPr>
          <w:rFonts w:ascii="UniCredit" w:hAnsi="UniCredit"/>
          <w:sz w:val="20"/>
          <w:szCs w:val="20"/>
        </w:rPr>
        <w:t>salarii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) </w:t>
      </w:r>
      <w:proofErr w:type="spellStart"/>
      <w:r w:rsidRPr="00B61C1D">
        <w:rPr>
          <w:rFonts w:ascii="UniCredit" w:hAnsi="UniCredit"/>
          <w:sz w:val="20"/>
          <w:szCs w:val="20"/>
        </w:rPr>
        <w:t>ce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pot fi </w:t>
      </w:r>
      <w:proofErr w:type="spellStart"/>
      <w:r w:rsidRPr="00B61C1D">
        <w:rPr>
          <w:rFonts w:ascii="UniCredit" w:hAnsi="UniCredit"/>
          <w:sz w:val="20"/>
          <w:szCs w:val="20"/>
        </w:rPr>
        <w:t>interogate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în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bazele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date ale </w:t>
      </w:r>
      <w:proofErr w:type="spellStart"/>
      <w:r w:rsidRPr="00B61C1D">
        <w:rPr>
          <w:rFonts w:ascii="UniCredit" w:hAnsi="UniCredit"/>
          <w:sz w:val="20"/>
          <w:szCs w:val="20"/>
        </w:rPr>
        <w:t>Agenției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Naționale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Administrare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Fiscală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(ANAF), </w:t>
      </w:r>
      <w:proofErr w:type="spellStart"/>
      <w:r w:rsidRPr="00B61C1D">
        <w:rPr>
          <w:rFonts w:ascii="UniCredit" w:hAnsi="UniCredit"/>
          <w:sz w:val="20"/>
          <w:szCs w:val="20"/>
        </w:rPr>
        <w:t>în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baza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exprimării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acordului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consultare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și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prelucrare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a </w:t>
      </w:r>
      <w:proofErr w:type="spellStart"/>
      <w:r w:rsidRPr="00B61C1D">
        <w:rPr>
          <w:rFonts w:ascii="UniCredit" w:hAnsi="UniCredit"/>
          <w:sz w:val="20"/>
          <w:szCs w:val="20"/>
        </w:rPr>
        <w:t>informațiilor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din </w:t>
      </w:r>
      <w:proofErr w:type="spellStart"/>
      <w:r w:rsidRPr="00B61C1D">
        <w:rPr>
          <w:rFonts w:ascii="UniCredit" w:hAnsi="UniCredit"/>
          <w:sz w:val="20"/>
          <w:szCs w:val="20"/>
        </w:rPr>
        <w:t>bazele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date ale ANAF.</w:t>
      </w:r>
    </w:p>
    <w:p w14:paraId="6E8FF955" w14:textId="77777777" w:rsidR="00077D35" w:rsidRPr="00B61C1D" w:rsidRDefault="00077D35" w:rsidP="00077D35">
      <w:pPr>
        <w:numPr>
          <w:ilvl w:val="0"/>
          <w:numId w:val="6"/>
        </w:numPr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Se </w:t>
      </w:r>
      <w:proofErr w:type="spellStart"/>
      <w:r w:rsidRPr="00B61C1D">
        <w:rPr>
          <w:rFonts w:ascii="UniCredit" w:hAnsi="UniCredit"/>
          <w:sz w:val="20"/>
          <w:szCs w:val="20"/>
        </w:rPr>
        <w:t>iau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considerare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urmatoarele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surse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venit</w:t>
      </w:r>
      <w:proofErr w:type="spellEnd"/>
      <w:r w:rsidRPr="00B61C1D">
        <w:rPr>
          <w:rFonts w:ascii="UniCredit" w:hAnsi="UniCredit"/>
          <w:sz w:val="20"/>
          <w:szCs w:val="20"/>
        </w:rPr>
        <w:t>:</w:t>
      </w:r>
      <w:r w:rsidRPr="00B61C1D">
        <w:rPr>
          <w:rFonts w:ascii="UniCredit" w:hAnsi="UniCredit"/>
          <w:sz w:val="20"/>
          <w:szCs w:val="20"/>
        </w:rPr>
        <w:br/>
        <w:t>✓ </w:t>
      </w:r>
      <w:proofErr w:type="spellStart"/>
      <w:r w:rsidRPr="00B61C1D">
        <w:rPr>
          <w:rFonts w:ascii="UniCredit" w:hAnsi="UniCredit"/>
          <w:sz w:val="20"/>
          <w:szCs w:val="20"/>
        </w:rPr>
        <w:t>venituri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din </w:t>
      </w:r>
      <w:proofErr w:type="spellStart"/>
      <w:r w:rsidRPr="00B61C1D">
        <w:rPr>
          <w:rFonts w:ascii="UniCredit" w:hAnsi="UniCredit"/>
          <w:sz w:val="20"/>
          <w:szCs w:val="20"/>
        </w:rPr>
        <w:t>salarii</w:t>
      </w:r>
      <w:proofErr w:type="spellEnd"/>
      <w:r w:rsidRPr="00B61C1D">
        <w:rPr>
          <w:rFonts w:ascii="UniCredit" w:hAnsi="UniCredit"/>
          <w:sz w:val="20"/>
          <w:szCs w:val="20"/>
        </w:rPr>
        <w:t>;</w:t>
      </w:r>
      <w:r w:rsidRPr="00B61C1D">
        <w:rPr>
          <w:rFonts w:ascii="UniCredit" w:hAnsi="UniCredit"/>
          <w:sz w:val="20"/>
          <w:szCs w:val="20"/>
        </w:rPr>
        <w:br/>
        <w:t>✓ </w:t>
      </w:r>
      <w:proofErr w:type="spellStart"/>
      <w:r w:rsidRPr="00B61C1D">
        <w:rPr>
          <w:rFonts w:ascii="UniCredit" w:hAnsi="UniCredit"/>
          <w:sz w:val="20"/>
          <w:szCs w:val="20"/>
        </w:rPr>
        <w:t>venituri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din </w:t>
      </w:r>
      <w:proofErr w:type="spellStart"/>
      <w:r w:rsidRPr="00B61C1D">
        <w:rPr>
          <w:rFonts w:ascii="UniCredit" w:hAnsi="UniCredit"/>
          <w:sz w:val="20"/>
          <w:szCs w:val="20"/>
        </w:rPr>
        <w:t>pensii</w:t>
      </w:r>
      <w:proofErr w:type="spellEnd"/>
      <w:r w:rsidRPr="00B61C1D">
        <w:rPr>
          <w:rFonts w:ascii="UniCredit" w:hAnsi="UniCredit"/>
          <w:sz w:val="20"/>
          <w:szCs w:val="20"/>
        </w:rPr>
        <w:t>;</w:t>
      </w:r>
    </w:p>
    <w:p w14:paraId="524D1755" w14:textId="245D1F0D" w:rsidR="00B61C1D" w:rsidRDefault="00077D35" w:rsidP="00077D35">
      <w:pPr>
        <w:rPr>
          <w:rFonts w:ascii="UniCredit" w:hAnsi="UniCredit"/>
          <w:b/>
          <w:bCs/>
          <w:sz w:val="20"/>
          <w:szCs w:val="20"/>
        </w:rPr>
      </w:pP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Detalii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privind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finan</w:t>
      </w:r>
      <w:r>
        <w:rPr>
          <w:rFonts w:ascii="UniCredit" w:hAnsi="UniCredit"/>
          <w:b/>
          <w:bCs/>
          <w:sz w:val="20"/>
          <w:szCs w:val="20"/>
        </w:rPr>
        <w:t>ț</w:t>
      </w:r>
      <w:r w:rsidRPr="00B61C1D">
        <w:rPr>
          <w:rFonts w:ascii="UniCredit" w:hAnsi="UniCredit"/>
          <w:b/>
          <w:bCs/>
          <w:sz w:val="20"/>
          <w:szCs w:val="20"/>
        </w:rPr>
        <w:t>area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produselor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pe site:</w:t>
      </w:r>
    </w:p>
    <w:p w14:paraId="6F790291" w14:textId="77777777" w:rsidR="00C35C08" w:rsidRDefault="00C35C08" w:rsidP="00C35C08">
      <w:pPr>
        <w:pStyle w:val="Default"/>
      </w:pPr>
    </w:p>
    <w:tbl>
      <w:tblPr>
        <w:tblW w:w="910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467"/>
        <w:gridCol w:w="1134"/>
        <w:gridCol w:w="1350"/>
        <w:gridCol w:w="1260"/>
        <w:gridCol w:w="1350"/>
        <w:gridCol w:w="1080"/>
      </w:tblGrid>
      <w:tr w:rsidR="00C35C08" w14:paraId="04BF72DC" w14:textId="77777777" w:rsidTr="005C4E5B">
        <w:trPr>
          <w:trHeight w:val="210"/>
        </w:trPr>
        <w:tc>
          <w:tcPr>
            <w:tcW w:w="1467" w:type="dxa"/>
            <w:vAlign w:val="center"/>
          </w:tcPr>
          <w:p w14:paraId="10646BE4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Produs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Financiar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14:paraId="778BBD00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DEAB86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Dobândă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anuală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fixă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350" w:type="dxa"/>
            <w:vAlign w:val="center"/>
          </w:tcPr>
          <w:p w14:paraId="67671DB3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Comision de </w:t>
            </w:r>
            <w:proofErr w:type="spellStart"/>
            <w:r>
              <w:rPr>
                <w:b/>
                <w:bCs/>
                <w:sz w:val="20"/>
                <w:szCs w:val="20"/>
              </w:rPr>
              <w:t>analiză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dosar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credit* </w:t>
            </w:r>
          </w:p>
        </w:tc>
        <w:tc>
          <w:tcPr>
            <w:tcW w:w="1260" w:type="dxa"/>
            <w:vAlign w:val="center"/>
          </w:tcPr>
          <w:p w14:paraId="79EB5D0D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Comision lunar de </w:t>
            </w:r>
            <w:proofErr w:type="spellStart"/>
            <w:r>
              <w:rPr>
                <w:b/>
                <w:bCs/>
                <w:sz w:val="20"/>
                <w:szCs w:val="20"/>
              </w:rPr>
              <w:t>administrare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credit </w:t>
            </w:r>
          </w:p>
        </w:tc>
        <w:tc>
          <w:tcPr>
            <w:tcW w:w="1350" w:type="dxa"/>
            <w:vAlign w:val="center"/>
          </w:tcPr>
          <w:p w14:paraId="555DB3AF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Perioada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creditare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6C31313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DAE** </w:t>
            </w:r>
          </w:p>
        </w:tc>
      </w:tr>
      <w:tr w:rsidR="00C35C08" w14:paraId="2500A396" w14:textId="77777777" w:rsidTr="005C4E5B">
        <w:trPr>
          <w:trHeight w:val="231"/>
        </w:trPr>
        <w:tc>
          <w:tcPr>
            <w:tcW w:w="1467" w:type="dxa"/>
          </w:tcPr>
          <w:p w14:paraId="3FA602D1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Low DAE 24M </w:t>
            </w:r>
          </w:p>
        </w:tc>
        <w:tc>
          <w:tcPr>
            <w:tcW w:w="1467" w:type="dxa"/>
          </w:tcPr>
          <w:p w14:paraId="5EC6DBCC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1.000 </w:t>
            </w:r>
            <w:r>
              <w:rPr>
                <w:rFonts w:asciiTheme="minorHAnsi" w:hAnsiTheme="minorHAnsi" w:cs="Wingdings"/>
                <w:sz w:val="20"/>
                <w:szCs w:val="20"/>
              </w:rPr>
              <w:t xml:space="preserve">&gt; </w:t>
            </w:r>
            <w:r>
              <w:rPr>
                <w:b/>
                <w:bCs/>
                <w:sz w:val="20"/>
                <w:szCs w:val="20"/>
              </w:rPr>
              <w:t xml:space="preserve">2.999 Lei </w:t>
            </w:r>
          </w:p>
        </w:tc>
        <w:tc>
          <w:tcPr>
            <w:tcW w:w="1134" w:type="dxa"/>
          </w:tcPr>
          <w:p w14:paraId="0DEB1314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18% </w:t>
            </w:r>
          </w:p>
        </w:tc>
        <w:tc>
          <w:tcPr>
            <w:tcW w:w="1350" w:type="dxa"/>
          </w:tcPr>
          <w:p w14:paraId="0E47A44F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Lei </w:t>
            </w:r>
          </w:p>
        </w:tc>
        <w:tc>
          <w:tcPr>
            <w:tcW w:w="1260" w:type="dxa"/>
          </w:tcPr>
          <w:p w14:paraId="6D772D75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Lei </w:t>
            </w:r>
          </w:p>
        </w:tc>
        <w:tc>
          <w:tcPr>
            <w:tcW w:w="1350" w:type="dxa"/>
          </w:tcPr>
          <w:p w14:paraId="1017DBA4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→ 24 </w:t>
            </w:r>
            <w:proofErr w:type="spellStart"/>
            <w:r>
              <w:rPr>
                <w:sz w:val="20"/>
                <w:szCs w:val="20"/>
              </w:rPr>
              <w:t>luni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E51D90C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29,58% </w:t>
            </w:r>
          </w:p>
        </w:tc>
      </w:tr>
      <w:tr w:rsidR="00C35C08" w14:paraId="7EBD765F" w14:textId="77777777" w:rsidTr="005C4E5B">
        <w:trPr>
          <w:trHeight w:val="231"/>
        </w:trPr>
        <w:tc>
          <w:tcPr>
            <w:tcW w:w="1467" w:type="dxa"/>
          </w:tcPr>
          <w:p w14:paraId="24907FA5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Low DAE 36M </w:t>
            </w:r>
          </w:p>
        </w:tc>
        <w:tc>
          <w:tcPr>
            <w:tcW w:w="1467" w:type="dxa"/>
          </w:tcPr>
          <w:p w14:paraId="567DA1B9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3.000 </w:t>
            </w:r>
            <w:r>
              <w:rPr>
                <w:rFonts w:asciiTheme="minorHAnsi" w:hAnsiTheme="minorHAnsi" w:cs="Wingdings"/>
                <w:sz w:val="20"/>
                <w:szCs w:val="20"/>
              </w:rPr>
              <w:t xml:space="preserve">&gt; </w:t>
            </w:r>
            <w:r>
              <w:rPr>
                <w:b/>
                <w:bCs/>
                <w:sz w:val="20"/>
                <w:szCs w:val="20"/>
              </w:rPr>
              <w:t xml:space="preserve">4.999 Lei </w:t>
            </w:r>
          </w:p>
        </w:tc>
        <w:tc>
          <w:tcPr>
            <w:tcW w:w="1134" w:type="dxa"/>
          </w:tcPr>
          <w:p w14:paraId="2CB22CAC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15% </w:t>
            </w:r>
          </w:p>
        </w:tc>
        <w:tc>
          <w:tcPr>
            <w:tcW w:w="1350" w:type="dxa"/>
          </w:tcPr>
          <w:p w14:paraId="4A687CA1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Lei </w:t>
            </w:r>
          </w:p>
        </w:tc>
        <w:tc>
          <w:tcPr>
            <w:tcW w:w="1260" w:type="dxa"/>
          </w:tcPr>
          <w:p w14:paraId="25820488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Lei </w:t>
            </w:r>
          </w:p>
        </w:tc>
        <w:tc>
          <w:tcPr>
            <w:tcW w:w="1350" w:type="dxa"/>
          </w:tcPr>
          <w:p w14:paraId="07F4994C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→ 36 </w:t>
            </w:r>
            <w:proofErr w:type="spellStart"/>
            <w:r>
              <w:rPr>
                <w:sz w:val="20"/>
                <w:szCs w:val="20"/>
              </w:rPr>
              <w:t>luni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DA99B73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21,74% </w:t>
            </w:r>
          </w:p>
        </w:tc>
      </w:tr>
      <w:tr w:rsidR="00C35C08" w14:paraId="235188C5" w14:textId="77777777" w:rsidTr="005C4E5B">
        <w:trPr>
          <w:trHeight w:val="231"/>
        </w:trPr>
        <w:tc>
          <w:tcPr>
            <w:tcW w:w="1467" w:type="dxa"/>
          </w:tcPr>
          <w:p w14:paraId="4573146C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Low DAE 60M </w:t>
            </w:r>
          </w:p>
        </w:tc>
        <w:tc>
          <w:tcPr>
            <w:tcW w:w="1467" w:type="dxa"/>
          </w:tcPr>
          <w:p w14:paraId="6AE33B17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5.000 </w:t>
            </w:r>
            <w:r>
              <w:rPr>
                <w:rFonts w:asciiTheme="minorHAnsi" w:hAnsiTheme="minorHAnsi" w:cs="Wingdings"/>
                <w:sz w:val="20"/>
                <w:szCs w:val="20"/>
              </w:rPr>
              <w:t xml:space="preserve">&gt; </w:t>
            </w:r>
            <w:r>
              <w:rPr>
                <w:b/>
                <w:bCs/>
                <w:sz w:val="20"/>
                <w:szCs w:val="20"/>
              </w:rPr>
              <w:t xml:space="preserve">50.000 Lei </w:t>
            </w:r>
          </w:p>
        </w:tc>
        <w:tc>
          <w:tcPr>
            <w:tcW w:w="1134" w:type="dxa"/>
          </w:tcPr>
          <w:p w14:paraId="2A5EC29D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12% </w:t>
            </w:r>
          </w:p>
        </w:tc>
        <w:tc>
          <w:tcPr>
            <w:tcW w:w="1350" w:type="dxa"/>
          </w:tcPr>
          <w:p w14:paraId="105CD230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Lei </w:t>
            </w:r>
          </w:p>
        </w:tc>
        <w:tc>
          <w:tcPr>
            <w:tcW w:w="1260" w:type="dxa"/>
          </w:tcPr>
          <w:p w14:paraId="53F8240C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Lei </w:t>
            </w:r>
          </w:p>
        </w:tc>
        <w:tc>
          <w:tcPr>
            <w:tcW w:w="1350" w:type="dxa"/>
          </w:tcPr>
          <w:p w14:paraId="718BCB6E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→ 60 </w:t>
            </w:r>
            <w:proofErr w:type="spellStart"/>
            <w:r>
              <w:rPr>
                <w:sz w:val="20"/>
                <w:szCs w:val="20"/>
              </w:rPr>
              <w:t>luni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B082A75" w14:textId="77777777" w:rsidR="00C35C08" w:rsidRDefault="00C35C08" w:rsidP="005C4E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13,59% </w:t>
            </w:r>
          </w:p>
        </w:tc>
      </w:tr>
    </w:tbl>
    <w:p w14:paraId="09F8C53C" w14:textId="77777777" w:rsidR="00C35C08" w:rsidRPr="00EA1E8B" w:rsidRDefault="00C35C08" w:rsidP="00C35C08">
      <w:pPr>
        <w:pStyle w:val="ListParagraph"/>
        <w:rPr>
          <w:rFonts w:ascii="UniCredit" w:hAnsi="UniCredit"/>
          <w:sz w:val="20"/>
          <w:szCs w:val="20"/>
        </w:rPr>
      </w:pPr>
    </w:p>
    <w:p w14:paraId="3139D60B" w14:textId="27B35635" w:rsidR="008F22CE" w:rsidRDefault="00C35C08" w:rsidP="00C35C08">
      <w:pPr>
        <w:jc w:val="both"/>
        <w:rPr>
          <w:rFonts w:ascii="UniCredit" w:hAnsi="UniCredit"/>
          <w:sz w:val="20"/>
          <w:szCs w:val="20"/>
        </w:rPr>
      </w:pPr>
      <w:r w:rsidRPr="00EA1E8B">
        <w:rPr>
          <w:rFonts w:ascii="UniCredit" w:hAnsi="UniCredit"/>
          <w:sz w:val="20"/>
          <w:szCs w:val="20"/>
        </w:rPr>
        <w:lastRenderedPageBreak/>
        <w:t xml:space="preserve"> </w:t>
      </w:r>
      <w:proofErr w:type="spellStart"/>
      <w:r w:rsidRPr="00B25068">
        <w:rPr>
          <w:rFonts w:ascii="UniCredit" w:hAnsi="UniCredit"/>
          <w:b/>
          <w:bCs/>
          <w:sz w:val="20"/>
          <w:szCs w:val="20"/>
        </w:rPr>
        <w:t>Exemplu</w:t>
      </w:r>
      <w:proofErr w:type="spellEnd"/>
      <w:r w:rsidRPr="00B25068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b/>
          <w:bCs/>
          <w:sz w:val="20"/>
          <w:szCs w:val="20"/>
        </w:rPr>
        <w:t>reprezentativ</w:t>
      </w:r>
      <w:proofErr w:type="spellEnd"/>
      <w:r w:rsidRPr="00B25068">
        <w:rPr>
          <w:rFonts w:ascii="UniCredit" w:hAnsi="UniCredit"/>
          <w:b/>
          <w:bCs/>
          <w:sz w:val="20"/>
          <w:szCs w:val="20"/>
        </w:rPr>
        <w:t xml:space="preserve"> de </w:t>
      </w:r>
      <w:proofErr w:type="spellStart"/>
      <w:r w:rsidRPr="00B25068">
        <w:rPr>
          <w:rFonts w:ascii="UniCredit" w:hAnsi="UniCredit"/>
          <w:b/>
          <w:bCs/>
          <w:sz w:val="20"/>
          <w:szCs w:val="20"/>
        </w:rPr>
        <w:t>calcul</w:t>
      </w:r>
      <w:proofErr w:type="spellEnd"/>
      <w:r w:rsidRPr="00B25068">
        <w:rPr>
          <w:rFonts w:ascii="UniCredit" w:hAnsi="UniCredit"/>
          <w:b/>
          <w:bCs/>
          <w:sz w:val="20"/>
          <w:szCs w:val="20"/>
        </w:rPr>
        <w:t xml:space="preserve">: </w:t>
      </w:r>
      <w:proofErr w:type="spellStart"/>
      <w:r w:rsidRPr="00B25068">
        <w:rPr>
          <w:rFonts w:ascii="UniCredit" w:hAnsi="UniCredit"/>
          <w:sz w:val="20"/>
          <w:szCs w:val="20"/>
        </w:rPr>
        <w:t>În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cazul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Creditului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r w:rsidRPr="00B25068">
        <w:rPr>
          <w:rFonts w:ascii="UniCredit" w:hAnsi="UniCredit"/>
          <w:b/>
          <w:bCs/>
          <w:sz w:val="20"/>
          <w:szCs w:val="20"/>
        </w:rPr>
        <w:t xml:space="preserve">Low DAE 24M/ Low DAE 36M / Low DAE 60M </w:t>
      </w:r>
      <w:r w:rsidRPr="00B25068">
        <w:rPr>
          <w:rFonts w:ascii="UniCredit" w:hAnsi="UniCredit"/>
          <w:sz w:val="20"/>
          <w:szCs w:val="20"/>
        </w:rPr>
        <w:t xml:space="preserve">(ca </w:t>
      </w:r>
      <w:proofErr w:type="spellStart"/>
      <w:r w:rsidRPr="00B25068">
        <w:rPr>
          <w:rFonts w:ascii="UniCredit" w:hAnsi="UniCredit"/>
          <w:sz w:val="20"/>
          <w:szCs w:val="20"/>
        </w:rPr>
        <w:t>urmare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a </w:t>
      </w:r>
      <w:proofErr w:type="spellStart"/>
      <w:r w:rsidRPr="00B25068">
        <w:rPr>
          <w:rFonts w:ascii="UniCredit" w:hAnsi="UniCredit"/>
          <w:sz w:val="20"/>
          <w:szCs w:val="20"/>
        </w:rPr>
        <w:t>îndeplinirii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criteriilor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25068">
        <w:rPr>
          <w:rFonts w:ascii="UniCredit" w:hAnsi="UniCredit"/>
          <w:sz w:val="20"/>
          <w:szCs w:val="20"/>
        </w:rPr>
        <w:t>eligibilitate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) pentru o </w:t>
      </w:r>
      <w:proofErr w:type="spellStart"/>
      <w:r w:rsidRPr="00B25068">
        <w:rPr>
          <w:rFonts w:ascii="UniCredit" w:hAnsi="UniCredit"/>
          <w:sz w:val="20"/>
          <w:szCs w:val="20"/>
        </w:rPr>
        <w:t>valoare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totală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a </w:t>
      </w:r>
      <w:proofErr w:type="spellStart"/>
      <w:r w:rsidRPr="00B25068">
        <w:rPr>
          <w:rFonts w:ascii="UniCredit" w:hAnsi="UniCredit"/>
          <w:sz w:val="20"/>
          <w:szCs w:val="20"/>
        </w:rPr>
        <w:t>creditului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de 1.500 / 2.500 / 7.500 Lei pe 24 / 36 / 60 </w:t>
      </w:r>
      <w:proofErr w:type="spellStart"/>
      <w:r w:rsidRPr="00B25068">
        <w:rPr>
          <w:rFonts w:ascii="UniCredit" w:hAnsi="UniCredit"/>
          <w:sz w:val="20"/>
          <w:szCs w:val="20"/>
        </w:rPr>
        <w:t>luni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, rata </w:t>
      </w:r>
      <w:proofErr w:type="spellStart"/>
      <w:r w:rsidRPr="00B25068">
        <w:rPr>
          <w:rFonts w:ascii="UniCredit" w:hAnsi="UniCredit"/>
          <w:sz w:val="20"/>
          <w:szCs w:val="20"/>
        </w:rPr>
        <w:t>dobânzii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fixă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/an </w:t>
      </w:r>
      <w:proofErr w:type="spellStart"/>
      <w:r w:rsidRPr="00B25068">
        <w:rPr>
          <w:rFonts w:ascii="UniCredit" w:hAnsi="UniCredit"/>
          <w:sz w:val="20"/>
          <w:szCs w:val="20"/>
        </w:rPr>
        <w:t>este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de 18% / 15% / 12% , </w:t>
      </w:r>
      <w:proofErr w:type="spellStart"/>
      <w:r w:rsidRPr="00B25068">
        <w:rPr>
          <w:rFonts w:ascii="UniCredit" w:hAnsi="UniCredit"/>
          <w:sz w:val="20"/>
          <w:szCs w:val="20"/>
        </w:rPr>
        <w:t>comision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25068">
        <w:rPr>
          <w:rFonts w:ascii="UniCredit" w:hAnsi="UniCredit"/>
          <w:sz w:val="20"/>
          <w:szCs w:val="20"/>
        </w:rPr>
        <w:t>analiză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dosar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0 Lei, </w:t>
      </w:r>
      <w:proofErr w:type="spellStart"/>
      <w:r w:rsidRPr="00B25068">
        <w:rPr>
          <w:rFonts w:ascii="UniCredit" w:hAnsi="UniCredit"/>
          <w:sz w:val="20"/>
          <w:szCs w:val="20"/>
        </w:rPr>
        <w:t>comision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lunar de </w:t>
      </w:r>
      <w:proofErr w:type="spellStart"/>
      <w:r w:rsidRPr="00B25068">
        <w:rPr>
          <w:rFonts w:ascii="UniCredit" w:hAnsi="UniCredit"/>
          <w:sz w:val="20"/>
          <w:szCs w:val="20"/>
        </w:rPr>
        <w:t>administrare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credit 10 Lei, </w:t>
      </w:r>
      <w:proofErr w:type="spellStart"/>
      <w:r w:rsidRPr="00B25068">
        <w:rPr>
          <w:rFonts w:ascii="UniCredit" w:hAnsi="UniCredit"/>
          <w:sz w:val="20"/>
          <w:szCs w:val="20"/>
        </w:rPr>
        <w:t>valoarea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ratei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lunare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(pentru rate </w:t>
      </w:r>
      <w:proofErr w:type="spellStart"/>
      <w:r w:rsidRPr="00B25068">
        <w:rPr>
          <w:rFonts w:ascii="UniCredit" w:hAnsi="UniCredit"/>
          <w:sz w:val="20"/>
          <w:szCs w:val="20"/>
        </w:rPr>
        <w:t>egale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) 85,96 / 97,70/ 178,43 Lei </w:t>
      </w:r>
      <w:proofErr w:type="spellStart"/>
      <w:r w:rsidRPr="00B25068">
        <w:rPr>
          <w:rFonts w:ascii="UniCredit" w:hAnsi="UniCredit"/>
          <w:sz w:val="20"/>
          <w:szCs w:val="20"/>
        </w:rPr>
        <w:t>valoarea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totală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</w:t>
      </w:r>
      <w:proofErr w:type="spellStart"/>
      <w:r w:rsidRPr="00B25068">
        <w:rPr>
          <w:rFonts w:ascii="UniCredit" w:hAnsi="UniCredit"/>
          <w:sz w:val="20"/>
          <w:szCs w:val="20"/>
        </w:rPr>
        <w:t>plătibilă</w:t>
      </w:r>
      <w:proofErr w:type="spellEnd"/>
      <w:r w:rsidRPr="00B25068">
        <w:rPr>
          <w:rFonts w:ascii="UniCredit" w:hAnsi="UniCredit"/>
          <w:sz w:val="20"/>
          <w:szCs w:val="20"/>
        </w:rPr>
        <w:t xml:space="preserve"> 2.062,93 / 3.517,09 / 10.705,74 Lei, DAE 38,06%/ 26,46% / 16,08%.</w:t>
      </w:r>
    </w:p>
    <w:p w14:paraId="0C820C48" w14:textId="77777777" w:rsidR="00077D35" w:rsidRPr="00B61C1D" w:rsidRDefault="00077D35" w:rsidP="00077D35">
      <w:pPr>
        <w:numPr>
          <w:ilvl w:val="0"/>
          <w:numId w:val="5"/>
        </w:numPr>
        <w:jc w:val="both"/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Fără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comision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analiză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dosar</w:t>
      </w:r>
      <w:proofErr w:type="spellEnd"/>
    </w:p>
    <w:p w14:paraId="741DE1A5" w14:textId="77777777" w:rsidR="00077D35" w:rsidRPr="00B61C1D" w:rsidRDefault="00077D35" w:rsidP="00077D35">
      <w:pPr>
        <w:numPr>
          <w:ilvl w:val="0"/>
          <w:numId w:val="5"/>
        </w:num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Ai </w:t>
      </w:r>
      <w:proofErr w:type="spellStart"/>
      <w:r w:rsidRPr="00B61C1D">
        <w:rPr>
          <w:rFonts w:ascii="UniCredit" w:hAnsi="UniCredit"/>
          <w:sz w:val="20"/>
          <w:szCs w:val="20"/>
        </w:rPr>
        <w:t>r</w:t>
      </w:r>
      <w:r>
        <w:rPr>
          <w:rFonts w:ascii="UniCredit" w:hAnsi="UniCredit"/>
          <w:sz w:val="20"/>
          <w:szCs w:val="20"/>
        </w:rPr>
        <w:t>ă</w:t>
      </w:r>
      <w:r w:rsidRPr="00B61C1D">
        <w:rPr>
          <w:rFonts w:ascii="UniCredit" w:hAnsi="UniCredit"/>
          <w:sz w:val="20"/>
          <w:szCs w:val="20"/>
        </w:rPr>
        <w:t>spuns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pe loc**, </w:t>
      </w:r>
      <w:proofErr w:type="spellStart"/>
      <w:r w:rsidRPr="00B61C1D">
        <w:rPr>
          <w:rFonts w:ascii="UniCredit" w:hAnsi="UniCredit"/>
          <w:sz w:val="20"/>
          <w:szCs w:val="20"/>
        </w:rPr>
        <w:t>dac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sunt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ndeplinite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condi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eligibilitate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potrivit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normelor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noastre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interne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documenta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credit </w:t>
      </w:r>
      <w:proofErr w:type="spellStart"/>
      <w:r w:rsidRPr="00B61C1D">
        <w:rPr>
          <w:rFonts w:ascii="UniCredit" w:hAnsi="UniCredit"/>
          <w:sz w:val="20"/>
          <w:szCs w:val="20"/>
        </w:rPr>
        <w:t>este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complet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>.</w:t>
      </w:r>
    </w:p>
    <w:p w14:paraId="39667FB0" w14:textId="77777777" w:rsidR="00077D35" w:rsidRPr="008C028B" w:rsidRDefault="00077D35" w:rsidP="00077D35">
      <w:p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**Fac </w:t>
      </w:r>
      <w:proofErr w:type="spellStart"/>
      <w:r w:rsidRPr="00B61C1D">
        <w:rPr>
          <w:rFonts w:ascii="UniCredit" w:hAnsi="UniCredit"/>
          <w:sz w:val="20"/>
          <w:szCs w:val="20"/>
        </w:rPr>
        <w:t>excep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situa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care </w:t>
      </w:r>
      <w:proofErr w:type="spellStart"/>
      <w:r w:rsidRPr="00B61C1D">
        <w:rPr>
          <w:rFonts w:ascii="UniCredit" w:hAnsi="UniCredit"/>
          <w:sz w:val="20"/>
          <w:szCs w:val="20"/>
        </w:rPr>
        <w:t>decizia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creditare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nu </w:t>
      </w:r>
      <w:proofErr w:type="spellStart"/>
      <w:r w:rsidRPr="00B61C1D">
        <w:rPr>
          <w:rFonts w:ascii="UniCredit" w:hAnsi="UniCredit"/>
          <w:sz w:val="20"/>
          <w:szCs w:val="20"/>
        </w:rPr>
        <w:t>poate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fi </w:t>
      </w:r>
      <w:proofErr w:type="spellStart"/>
      <w:r w:rsidRPr="00B61C1D">
        <w:rPr>
          <w:rFonts w:ascii="UniCredit" w:hAnsi="UniCredit"/>
          <w:sz w:val="20"/>
          <w:szCs w:val="20"/>
        </w:rPr>
        <w:t>luat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pe loc din motive </w:t>
      </w:r>
      <w:proofErr w:type="spellStart"/>
      <w:r w:rsidRPr="00B61C1D">
        <w:rPr>
          <w:rFonts w:ascii="UniCredit" w:hAnsi="UniCredit"/>
          <w:sz w:val="20"/>
          <w:szCs w:val="20"/>
        </w:rPr>
        <w:t>independente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voin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UniCredit Consumer Financing IFN S.A. </w:t>
      </w:r>
      <w:proofErr w:type="spellStart"/>
      <w:r w:rsidRPr="00B61C1D">
        <w:rPr>
          <w:rFonts w:ascii="UniCredit" w:hAnsi="UniCredit"/>
          <w:sz w:val="20"/>
          <w:szCs w:val="20"/>
        </w:rPr>
        <w:t>sau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situa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care </w:t>
      </w:r>
      <w:proofErr w:type="spellStart"/>
      <w:r w:rsidRPr="00B61C1D">
        <w:rPr>
          <w:rFonts w:ascii="UniCredit" w:hAnsi="UniCredit"/>
          <w:sz w:val="20"/>
          <w:szCs w:val="20"/>
        </w:rPr>
        <w:t>este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necesar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o </w:t>
      </w:r>
      <w:proofErr w:type="spellStart"/>
      <w:r w:rsidRPr="00B61C1D">
        <w:rPr>
          <w:rFonts w:ascii="UniCredit" w:hAnsi="UniCredit"/>
          <w:sz w:val="20"/>
          <w:szCs w:val="20"/>
        </w:rPr>
        <w:t>analiz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suplimentar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a </w:t>
      </w:r>
      <w:proofErr w:type="spellStart"/>
      <w:r w:rsidRPr="00B61C1D">
        <w:rPr>
          <w:rFonts w:ascii="UniCredit" w:hAnsi="UniCredit"/>
          <w:sz w:val="20"/>
          <w:szCs w:val="20"/>
        </w:rPr>
        <w:t>cererii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. </w:t>
      </w:r>
      <w:proofErr w:type="spellStart"/>
      <w:r w:rsidRPr="00B61C1D">
        <w:rPr>
          <w:rFonts w:ascii="UniCredit" w:hAnsi="UniCredit"/>
          <w:sz w:val="20"/>
          <w:szCs w:val="20"/>
        </w:rPr>
        <w:t>Creditorul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are </w:t>
      </w:r>
      <w:proofErr w:type="spellStart"/>
      <w:r w:rsidRPr="00B61C1D">
        <w:rPr>
          <w:rFonts w:ascii="UniCredit" w:hAnsi="UniCredit"/>
          <w:sz w:val="20"/>
          <w:szCs w:val="20"/>
        </w:rPr>
        <w:t>dreptul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a </w:t>
      </w:r>
      <w:proofErr w:type="spellStart"/>
      <w:r w:rsidRPr="00B61C1D">
        <w:rPr>
          <w:rFonts w:ascii="UniCredit" w:hAnsi="UniCredit"/>
          <w:sz w:val="20"/>
          <w:szCs w:val="20"/>
        </w:rPr>
        <w:t>analiza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a </w:t>
      </w:r>
      <w:proofErr w:type="spellStart"/>
      <w:r w:rsidRPr="00B61C1D">
        <w:rPr>
          <w:rFonts w:ascii="UniCredit" w:hAnsi="UniCredit"/>
          <w:sz w:val="20"/>
          <w:szCs w:val="20"/>
        </w:rPr>
        <w:t>aproba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sau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respinge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solicitarea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acordare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a </w:t>
      </w:r>
      <w:proofErr w:type="spellStart"/>
      <w:r w:rsidRPr="00B61C1D">
        <w:rPr>
          <w:rFonts w:ascii="UniCredit" w:hAnsi="UniCredit"/>
          <w:sz w:val="20"/>
          <w:szCs w:val="20"/>
        </w:rPr>
        <w:t>creditului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consum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</w:t>
      </w:r>
      <w:proofErr w:type="spellStart"/>
      <w:r w:rsidRPr="00B61C1D">
        <w:rPr>
          <w:rFonts w:ascii="UniCredit" w:hAnsi="UniCredit"/>
          <w:sz w:val="20"/>
          <w:szCs w:val="20"/>
        </w:rPr>
        <w:t>în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conformitate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cu </w:t>
      </w:r>
      <w:proofErr w:type="spellStart"/>
      <w:r w:rsidRPr="00B61C1D">
        <w:rPr>
          <w:rFonts w:ascii="UniCredit" w:hAnsi="UniCredit"/>
          <w:sz w:val="20"/>
          <w:szCs w:val="20"/>
        </w:rPr>
        <w:t>normele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interne </w:t>
      </w:r>
      <w:proofErr w:type="spellStart"/>
      <w:r w:rsidRPr="00B61C1D">
        <w:rPr>
          <w:rFonts w:ascii="UniCredit" w:hAnsi="UniCredit"/>
          <w:sz w:val="20"/>
          <w:szCs w:val="20"/>
        </w:rPr>
        <w:t>si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reglement</w:t>
      </w:r>
      <w:r>
        <w:rPr>
          <w:rFonts w:ascii="UniCredit" w:hAnsi="UniCredit"/>
          <w:sz w:val="20"/>
          <w:szCs w:val="20"/>
        </w:rPr>
        <w:t>ă</w:t>
      </w:r>
      <w:r w:rsidRPr="00B61C1D">
        <w:rPr>
          <w:rFonts w:ascii="UniCredit" w:hAnsi="UniCredit"/>
          <w:sz w:val="20"/>
          <w:szCs w:val="20"/>
        </w:rPr>
        <w:t>rile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legale</w:t>
      </w:r>
      <w:proofErr w:type="spellEnd"/>
      <w:r w:rsidRPr="00B61C1D">
        <w:rPr>
          <w:rFonts w:ascii="UniCredit" w:hAnsi="UniCredit"/>
          <w:sz w:val="20"/>
          <w:szCs w:val="20"/>
        </w:rPr>
        <w:t>.</w:t>
      </w:r>
    </w:p>
    <w:p w14:paraId="2C3D4972" w14:textId="77777777" w:rsidR="00077D35" w:rsidRPr="00B61C1D" w:rsidRDefault="00077D35" w:rsidP="00077D35">
      <w:pPr>
        <w:jc w:val="both"/>
        <w:rPr>
          <w:rFonts w:ascii="UniCredit" w:hAnsi="UniCredit"/>
          <w:sz w:val="20"/>
          <w:szCs w:val="20"/>
        </w:rPr>
      </w:pPr>
    </w:p>
    <w:p w14:paraId="46377155" w14:textId="77777777" w:rsidR="00077D35" w:rsidRPr="00B61C1D" w:rsidRDefault="00077D35" w:rsidP="00077D35">
      <w:pPr>
        <w:jc w:val="both"/>
        <w:rPr>
          <w:rFonts w:ascii="UniCredit" w:hAnsi="UniCredit"/>
          <w:b/>
          <w:bCs/>
          <w:sz w:val="20"/>
          <w:szCs w:val="20"/>
        </w:rPr>
      </w:pP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Unde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>
        <w:rPr>
          <w:rFonts w:ascii="UniCredit" w:hAnsi="UniCredit"/>
          <w:b/>
          <w:bCs/>
          <w:sz w:val="20"/>
          <w:szCs w:val="20"/>
        </w:rPr>
        <w:t>ș</w:t>
      </w:r>
      <w:r w:rsidRPr="00B61C1D">
        <w:rPr>
          <w:rFonts w:ascii="UniCredit" w:hAnsi="UniCredit"/>
          <w:b/>
          <w:bCs/>
          <w:sz w:val="20"/>
          <w:szCs w:val="20"/>
        </w:rPr>
        <w:t>i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cum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pl</w:t>
      </w:r>
      <w:r>
        <w:rPr>
          <w:rFonts w:ascii="UniCredit" w:hAnsi="UniCredit"/>
          <w:b/>
          <w:bCs/>
          <w:sz w:val="20"/>
          <w:szCs w:val="20"/>
        </w:rPr>
        <w:t>ă</w:t>
      </w:r>
      <w:r w:rsidRPr="00B61C1D">
        <w:rPr>
          <w:rFonts w:ascii="UniCredit" w:hAnsi="UniCredit"/>
          <w:b/>
          <w:bCs/>
          <w:sz w:val="20"/>
          <w:szCs w:val="20"/>
        </w:rPr>
        <w:t>te</w:t>
      </w:r>
      <w:r>
        <w:rPr>
          <w:rFonts w:ascii="UniCredit" w:hAnsi="UniCredit"/>
          <w:b/>
          <w:bCs/>
          <w:sz w:val="20"/>
          <w:szCs w:val="20"/>
        </w:rPr>
        <w:t>ș</w:t>
      </w:r>
      <w:r w:rsidRPr="00B61C1D">
        <w:rPr>
          <w:rFonts w:ascii="UniCredit" w:hAnsi="UniCredit"/>
          <w:b/>
          <w:bCs/>
          <w:sz w:val="20"/>
          <w:szCs w:val="20"/>
        </w:rPr>
        <w:t>ti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ratele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>?</w:t>
      </w:r>
    </w:p>
    <w:p w14:paraId="58039854" w14:textId="77777777" w:rsidR="00077D35" w:rsidRPr="00B61C1D" w:rsidRDefault="00077D35" w:rsidP="00077D35">
      <w:pPr>
        <w:jc w:val="both"/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sz w:val="20"/>
          <w:szCs w:val="20"/>
        </w:rPr>
        <w:t>Achit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ratele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aferente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Creditului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Partener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100% Online </w:t>
      </w:r>
      <w:proofErr w:type="spellStart"/>
      <w:r w:rsidRPr="00B61C1D">
        <w:rPr>
          <w:rFonts w:ascii="UniCredit" w:hAnsi="UniCredit"/>
          <w:sz w:val="20"/>
          <w:szCs w:val="20"/>
        </w:rPr>
        <w:t>numerar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?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orice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sucursal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UniCredit Bank S.A., online </w:t>
      </w:r>
      <w:proofErr w:type="spellStart"/>
      <w:r w:rsidRPr="00B61C1D">
        <w:rPr>
          <w:rFonts w:ascii="UniCredit" w:hAnsi="UniCredit"/>
          <w:sz w:val="20"/>
          <w:szCs w:val="20"/>
        </w:rPr>
        <w:t>prin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Online Banking </w:t>
      </w:r>
      <w:proofErr w:type="spellStart"/>
      <w:r w:rsidRPr="00B61C1D">
        <w:rPr>
          <w:rFonts w:ascii="UniCredit" w:hAnsi="UniCredit"/>
          <w:sz w:val="20"/>
          <w:szCs w:val="20"/>
        </w:rPr>
        <w:t>sau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Mobile Banking (</w:t>
      </w:r>
      <w:proofErr w:type="spellStart"/>
      <w:r w:rsidRPr="00B61C1D">
        <w:rPr>
          <w:rFonts w:ascii="UniCredit" w:hAnsi="UniCredit"/>
          <w:sz w:val="20"/>
          <w:szCs w:val="20"/>
        </w:rPr>
        <w:t>dac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ai </w:t>
      </w:r>
      <w:proofErr w:type="spellStart"/>
      <w:r w:rsidRPr="00B61C1D">
        <w:rPr>
          <w:rFonts w:ascii="UniCredit" w:hAnsi="UniCredit"/>
          <w:sz w:val="20"/>
          <w:szCs w:val="20"/>
        </w:rPr>
        <w:t>contractate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aceste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servicii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la UniCredit Bank S.A.), precum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loca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semnalizate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cu sigla </w:t>
      </w:r>
      <w:proofErr w:type="spellStart"/>
      <w:r w:rsidRPr="00B61C1D">
        <w:rPr>
          <w:rFonts w:ascii="UniCredit" w:hAnsi="UniCredit"/>
          <w:sz w:val="20"/>
          <w:szCs w:val="20"/>
        </w:rPr>
        <w:t>PayPoint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SelfPay</w:t>
      </w:r>
      <w:proofErr w:type="spellEnd"/>
    </w:p>
    <w:p w14:paraId="1CF7AF2D" w14:textId="77777777" w:rsidR="00077D35" w:rsidRPr="00B61C1D" w:rsidRDefault="00077D35" w:rsidP="00077D35">
      <w:p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Mai </w:t>
      </w:r>
      <w:proofErr w:type="spellStart"/>
      <w:r w:rsidRPr="00B61C1D">
        <w:rPr>
          <w:rFonts w:ascii="UniCredit" w:hAnsi="UniCredit"/>
          <w:sz w:val="20"/>
          <w:szCs w:val="20"/>
        </w:rPr>
        <w:t>multe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detalii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reg</w:t>
      </w:r>
      <w:r>
        <w:rPr>
          <w:rFonts w:ascii="UniCredit" w:hAnsi="UniCredit"/>
          <w:sz w:val="20"/>
          <w:szCs w:val="20"/>
        </w:rPr>
        <w:t>ă</w:t>
      </w:r>
      <w:r w:rsidRPr="00B61C1D">
        <w:rPr>
          <w:rFonts w:ascii="UniCredit" w:hAnsi="UniCredit"/>
          <w:sz w:val="20"/>
          <w:szCs w:val="20"/>
        </w:rPr>
        <w:t>se</w:t>
      </w:r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ti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hyperlink r:id="rId10" w:history="1">
        <w:proofErr w:type="spellStart"/>
        <w:r w:rsidRPr="008456AC">
          <w:rPr>
            <w:rStyle w:val="Hyperlink"/>
            <w:rFonts w:ascii="UniCredit" w:hAnsi="UniCredit"/>
            <w:sz w:val="20"/>
            <w:szCs w:val="20"/>
          </w:rPr>
          <w:t>aici</w:t>
        </w:r>
        <w:proofErr w:type="spellEnd"/>
      </w:hyperlink>
      <w:r w:rsidRPr="00B61C1D">
        <w:rPr>
          <w:rFonts w:ascii="UniCredit" w:hAnsi="UniCredit"/>
          <w:sz w:val="20"/>
          <w:szCs w:val="20"/>
        </w:rPr>
        <w:t>:</w:t>
      </w:r>
    </w:p>
    <w:p w14:paraId="650810F6" w14:textId="77777777" w:rsidR="00077D35" w:rsidRPr="00B61C1D" w:rsidRDefault="00077D35" w:rsidP="00077D35">
      <w:pPr>
        <w:jc w:val="both"/>
        <w:rPr>
          <w:rFonts w:ascii="UniCredit" w:hAnsi="UniCredit"/>
          <w:b/>
          <w:bCs/>
          <w:sz w:val="20"/>
          <w:szCs w:val="20"/>
        </w:rPr>
      </w:pPr>
      <w:r w:rsidRPr="00B61C1D">
        <w:rPr>
          <w:rFonts w:ascii="UniCredit" w:hAnsi="UniCredit"/>
          <w:b/>
          <w:bCs/>
          <w:sz w:val="20"/>
          <w:szCs w:val="20"/>
        </w:rPr>
        <w:t xml:space="preserve">Pentru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detalii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puteti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contacta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 xml:space="preserve"> UniCredit Consumer Financing:</w:t>
      </w:r>
    </w:p>
    <w:p w14:paraId="017F8F61" w14:textId="77777777" w:rsidR="00077D35" w:rsidRPr="00B61C1D" w:rsidRDefault="00077D35" w:rsidP="00077D35">
      <w:pPr>
        <w:numPr>
          <w:ilvl w:val="0"/>
          <w:numId w:val="4"/>
        </w:num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b/>
          <w:bCs/>
          <w:sz w:val="20"/>
          <w:szCs w:val="20"/>
        </w:rPr>
        <w:t>E-mail:</w:t>
      </w:r>
      <w:r w:rsidRPr="00B61C1D">
        <w:rPr>
          <w:rFonts w:ascii="UniCredit" w:hAnsi="UniCredit"/>
          <w:sz w:val="20"/>
          <w:szCs w:val="20"/>
        </w:rPr>
        <w:t> support-online@unicredit.ro</w:t>
      </w:r>
    </w:p>
    <w:p w14:paraId="15AC1FD5" w14:textId="77777777" w:rsidR="00077D35" w:rsidRPr="00B61C1D" w:rsidRDefault="00077D35" w:rsidP="00077D35">
      <w:pPr>
        <w:numPr>
          <w:ilvl w:val="0"/>
          <w:numId w:val="4"/>
        </w:numPr>
        <w:jc w:val="both"/>
        <w:rPr>
          <w:rFonts w:ascii="UniCredit" w:hAnsi="UniCredit"/>
          <w:sz w:val="20"/>
          <w:szCs w:val="20"/>
        </w:rPr>
      </w:pPr>
      <w:proofErr w:type="spellStart"/>
      <w:r w:rsidRPr="00B61C1D">
        <w:rPr>
          <w:rFonts w:ascii="UniCredit" w:hAnsi="UniCredit"/>
          <w:b/>
          <w:bCs/>
          <w:sz w:val="20"/>
          <w:szCs w:val="20"/>
        </w:rPr>
        <w:t>Telefon</w:t>
      </w:r>
      <w:proofErr w:type="spellEnd"/>
      <w:r w:rsidRPr="00B61C1D">
        <w:rPr>
          <w:rFonts w:ascii="UniCredit" w:hAnsi="UniCredit"/>
          <w:b/>
          <w:bCs/>
          <w:sz w:val="20"/>
          <w:szCs w:val="20"/>
        </w:rPr>
        <w:t>:</w:t>
      </w:r>
      <w:r w:rsidRPr="00B61C1D">
        <w:rPr>
          <w:rFonts w:ascii="UniCredit" w:hAnsi="UniCredit"/>
          <w:sz w:val="20"/>
          <w:szCs w:val="20"/>
        </w:rPr>
        <w:t> 021.200.97.11 (</w:t>
      </w:r>
      <w:proofErr w:type="spellStart"/>
      <w:r w:rsidRPr="00B61C1D">
        <w:rPr>
          <w:rFonts w:ascii="UniCredit" w:hAnsi="UniCredit"/>
          <w:sz w:val="20"/>
          <w:szCs w:val="20"/>
        </w:rPr>
        <w:t>apel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tarif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normal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re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eaua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fix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Orange Rom</w:t>
      </w:r>
      <w:r>
        <w:rPr>
          <w:rFonts w:ascii="UniCredit" w:hAnsi="UniCredit"/>
          <w:sz w:val="20"/>
          <w:szCs w:val="20"/>
        </w:rPr>
        <w:t>a</w:t>
      </w:r>
      <w:r w:rsidRPr="00B61C1D">
        <w:rPr>
          <w:rFonts w:ascii="UniCredit" w:hAnsi="UniCredit"/>
          <w:sz w:val="20"/>
          <w:szCs w:val="20"/>
        </w:rPr>
        <w:t>nia Communications)</w:t>
      </w:r>
    </w:p>
    <w:p w14:paraId="074DEC93" w14:textId="77777777" w:rsidR="00077D35" w:rsidRPr="00B61C1D" w:rsidRDefault="00077D35" w:rsidP="00077D35">
      <w:pPr>
        <w:numPr>
          <w:ilvl w:val="0"/>
          <w:numId w:val="4"/>
        </w:num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b/>
          <w:bCs/>
          <w:sz w:val="20"/>
          <w:szCs w:val="20"/>
        </w:rPr>
        <w:t>Program:</w:t>
      </w:r>
      <w:r w:rsidRPr="00B61C1D">
        <w:rPr>
          <w:rFonts w:ascii="UniCredit" w:hAnsi="UniCredit"/>
          <w:sz w:val="20"/>
          <w:szCs w:val="20"/>
        </w:rPr>
        <w:t> Luni-</w:t>
      </w:r>
      <w:proofErr w:type="spellStart"/>
      <w:r w:rsidRPr="00B61C1D">
        <w:rPr>
          <w:rFonts w:ascii="UniCredit" w:hAnsi="UniCredit"/>
          <w:sz w:val="20"/>
          <w:szCs w:val="20"/>
        </w:rPr>
        <w:t>Vineri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09:00 – </w:t>
      </w:r>
      <w:r w:rsidRPr="008C028B">
        <w:rPr>
          <w:rFonts w:ascii="UniCredit" w:hAnsi="UniCredit"/>
          <w:sz w:val="20"/>
          <w:szCs w:val="20"/>
        </w:rPr>
        <w:t>21</w:t>
      </w:r>
      <w:r w:rsidRPr="00B61C1D">
        <w:rPr>
          <w:rFonts w:ascii="UniCredit" w:hAnsi="UniCredit"/>
          <w:sz w:val="20"/>
          <w:szCs w:val="20"/>
        </w:rPr>
        <w:t>:</w:t>
      </w:r>
      <w:r w:rsidRPr="008C028B">
        <w:rPr>
          <w:rFonts w:ascii="UniCredit" w:hAnsi="UniCredit"/>
          <w:sz w:val="20"/>
          <w:szCs w:val="20"/>
        </w:rPr>
        <w:t>00</w:t>
      </w:r>
    </w:p>
    <w:p w14:paraId="5379793D" w14:textId="77777777" w:rsidR="00077D35" w:rsidRDefault="00077D35" w:rsidP="00077D35">
      <w:pPr>
        <w:jc w:val="both"/>
        <w:rPr>
          <w:rFonts w:ascii="UniCredit" w:hAnsi="UniCredit"/>
          <w:sz w:val="20"/>
          <w:szCs w:val="20"/>
        </w:rPr>
      </w:pPr>
      <w:r w:rsidRPr="00B61C1D">
        <w:rPr>
          <w:rFonts w:ascii="UniCredit" w:hAnsi="UniCredit"/>
          <w:sz w:val="20"/>
          <w:szCs w:val="20"/>
        </w:rPr>
        <w:t xml:space="preserve">UniCredit Consumer Financing IFN SA </w:t>
      </w:r>
      <w:proofErr w:type="spellStart"/>
      <w:r w:rsidRPr="00B61C1D">
        <w:rPr>
          <w:rFonts w:ascii="UniCredit" w:hAnsi="UniCredit"/>
          <w:sz w:val="20"/>
          <w:szCs w:val="20"/>
        </w:rPr>
        <w:t>prelucreaz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date cu </w:t>
      </w:r>
      <w:proofErr w:type="spellStart"/>
      <w:r w:rsidRPr="00B61C1D">
        <w:rPr>
          <w:rFonts w:ascii="UniCredit" w:hAnsi="UniCredit"/>
          <w:sz w:val="20"/>
          <w:szCs w:val="20"/>
        </w:rPr>
        <w:t>caracter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personal conform </w:t>
      </w:r>
      <w:proofErr w:type="spellStart"/>
      <w:r w:rsidRPr="00B61C1D">
        <w:rPr>
          <w:rFonts w:ascii="UniCredit" w:hAnsi="UniCredit"/>
          <w:sz w:val="20"/>
          <w:szCs w:val="20"/>
        </w:rPr>
        <w:t>prevederilor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legale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aplicabile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B61C1D">
        <w:rPr>
          <w:rFonts w:ascii="UniCredit" w:hAnsi="UniCredit"/>
          <w:sz w:val="20"/>
          <w:szCs w:val="20"/>
        </w:rPr>
        <w:t>n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materie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, </w:t>
      </w:r>
      <w:proofErr w:type="spellStart"/>
      <w:r w:rsidRPr="00B61C1D">
        <w:rPr>
          <w:rFonts w:ascii="UniCredit" w:hAnsi="UniCredit"/>
          <w:sz w:val="20"/>
          <w:szCs w:val="20"/>
        </w:rPr>
        <w:t>iar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informa</w:t>
      </w:r>
      <w:r>
        <w:rPr>
          <w:rFonts w:ascii="UniCredit" w:hAnsi="UniCredit"/>
          <w:sz w:val="20"/>
          <w:szCs w:val="20"/>
        </w:rPr>
        <w:t>ț</w:t>
      </w:r>
      <w:r w:rsidRPr="00B61C1D">
        <w:rPr>
          <w:rFonts w:ascii="UniCredit" w:hAnsi="UniCredit"/>
          <w:sz w:val="20"/>
          <w:szCs w:val="20"/>
        </w:rPr>
        <w:t>ii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detaliate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privind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prelucrarea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B61C1D">
        <w:rPr>
          <w:rFonts w:ascii="UniCredit" w:hAnsi="UniCredit"/>
          <w:sz w:val="20"/>
          <w:szCs w:val="20"/>
        </w:rPr>
        <w:t>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modalitatea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B61C1D">
        <w:rPr>
          <w:rFonts w:ascii="UniCredit" w:hAnsi="UniCredit"/>
          <w:sz w:val="20"/>
          <w:szCs w:val="20"/>
        </w:rPr>
        <w:t>exercitare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a </w:t>
      </w:r>
      <w:proofErr w:type="spellStart"/>
      <w:r w:rsidRPr="00B61C1D">
        <w:rPr>
          <w:rFonts w:ascii="UniCredit" w:hAnsi="UniCredit"/>
          <w:sz w:val="20"/>
          <w:szCs w:val="20"/>
        </w:rPr>
        <w:t>drepturilor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persoanei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proofErr w:type="spellStart"/>
      <w:r w:rsidRPr="00B61C1D">
        <w:rPr>
          <w:rFonts w:ascii="UniCredit" w:hAnsi="UniCredit"/>
          <w:sz w:val="20"/>
          <w:szCs w:val="20"/>
        </w:rPr>
        <w:t>vizate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sunt </w:t>
      </w:r>
      <w:proofErr w:type="spellStart"/>
      <w:r w:rsidRPr="00B61C1D">
        <w:rPr>
          <w:rFonts w:ascii="UniCredit" w:hAnsi="UniCredit"/>
          <w:sz w:val="20"/>
          <w:szCs w:val="20"/>
        </w:rPr>
        <w:t>disponibile</w:t>
      </w:r>
      <w:proofErr w:type="spellEnd"/>
      <w:r w:rsidRPr="00B61C1D">
        <w:rPr>
          <w:rFonts w:ascii="UniCredit" w:hAnsi="UniCredit"/>
          <w:sz w:val="20"/>
          <w:szCs w:val="20"/>
        </w:rPr>
        <w:t xml:space="preserve"> </w:t>
      </w:r>
      <w:hyperlink r:id="rId11" w:history="1">
        <w:proofErr w:type="spellStart"/>
        <w:r w:rsidRPr="008456AC">
          <w:rPr>
            <w:rStyle w:val="Hyperlink"/>
            <w:rFonts w:ascii="UniCredit" w:hAnsi="UniCredit"/>
            <w:sz w:val="20"/>
            <w:szCs w:val="20"/>
          </w:rPr>
          <w:t>aici</w:t>
        </w:r>
        <w:proofErr w:type="spellEnd"/>
      </w:hyperlink>
      <w:r w:rsidRPr="00B61C1D">
        <w:rPr>
          <w:rFonts w:ascii="UniCredit" w:hAnsi="UniCredit"/>
          <w:sz w:val="20"/>
          <w:szCs w:val="20"/>
        </w:rPr>
        <w:t>.</w:t>
      </w:r>
    </w:p>
    <w:p w14:paraId="03025612" w14:textId="762CF355" w:rsidR="008C028B" w:rsidRPr="00B61C1D" w:rsidRDefault="00077D35" w:rsidP="00077D35">
      <w:pPr>
        <w:jc w:val="both"/>
        <w:rPr>
          <w:rFonts w:ascii="UniCredit" w:hAnsi="UniCredit"/>
          <w:sz w:val="20"/>
          <w:szCs w:val="20"/>
        </w:rPr>
      </w:pPr>
      <w:r w:rsidRPr="001A53D7">
        <w:rPr>
          <w:rFonts w:ascii="UniCredit" w:hAnsi="UniCredit"/>
          <w:b/>
          <w:bCs/>
          <w:sz w:val="20"/>
          <w:szCs w:val="20"/>
        </w:rPr>
        <w:t xml:space="preserve">UNICREDIT CONSUMER FINANCING IFN S.A., </w:t>
      </w:r>
      <w:proofErr w:type="spellStart"/>
      <w:r w:rsidRPr="001A53D7">
        <w:rPr>
          <w:rFonts w:ascii="UniCredit" w:hAnsi="UniCredit"/>
          <w:sz w:val="20"/>
          <w:szCs w:val="20"/>
        </w:rPr>
        <w:t>societate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</w:t>
      </w:r>
      <w:proofErr w:type="spellStart"/>
      <w:r w:rsidRPr="001A53D7">
        <w:rPr>
          <w:rFonts w:ascii="UniCredit" w:hAnsi="UniCredit"/>
          <w:sz w:val="20"/>
          <w:szCs w:val="20"/>
        </w:rPr>
        <w:t>administrată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</w:t>
      </w:r>
      <w:proofErr w:type="spellStart"/>
      <w:r w:rsidRPr="001A53D7">
        <w:rPr>
          <w:rFonts w:ascii="UniCredit" w:hAnsi="UniCredit"/>
          <w:sz w:val="20"/>
          <w:szCs w:val="20"/>
        </w:rPr>
        <w:t>în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</w:t>
      </w:r>
      <w:proofErr w:type="spellStart"/>
      <w:r w:rsidRPr="001A53D7">
        <w:rPr>
          <w:rFonts w:ascii="UniCredit" w:hAnsi="UniCredit"/>
          <w:sz w:val="20"/>
          <w:szCs w:val="20"/>
        </w:rPr>
        <w:t>sistem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dualist, </w:t>
      </w:r>
      <w:proofErr w:type="spellStart"/>
      <w:r w:rsidRPr="001A53D7">
        <w:rPr>
          <w:rFonts w:ascii="UniCredit" w:hAnsi="UniCredit"/>
          <w:sz w:val="20"/>
          <w:szCs w:val="20"/>
        </w:rPr>
        <w:t>înregistrată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la </w:t>
      </w:r>
      <w:proofErr w:type="spellStart"/>
      <w:r w:rsidRPr="001A53D7">
        <w:rPr>
          <w:rFonts w:ascii="UniCredit" w:hAnsi="UniCredit"/>
          <w:sz w:val="20"/>
          <w:szCs w:val="20"/>
        </w:rPr>
        <w:t>Registrul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</w:t>
      </w:r>
      <w:proofErr w:type="spellStart"/>
      <w:r w:rsidRPr="001A53D7">
        <w:rPr>
          <w:rFonts w:ascii="UniCredit" w:hAnsi="UniCredit"/>
          <w:sz w:val="20"/>
          <w:szCs w:val="20"/>
        </w:rPr>
        <w:t>Comerţului</w:t>
      </w:r>
      <w:proofErr w:type="spellEnd"/>
      <w:r w:rsidRPr="001A53D7">
        <w:rPr>
          <w:rFonts w:ascii="UniCredit" w:hAnsi="UniCredit"/>
          <w:sz w:val="20"/>
          <w:szCs w:val="20"/>
        </w:rPr>
        <w:t xml:space="preserve"> sub nr. </w:t>
      </w:r>
      <w:r w:rsidRPr="00837A82">
        <w:rPr>
          <w:rFonts w:ascii="UniCredit" w:hAnsi="UniCredit"/>
          <w:sz w:val="20"/>
          <w:szCs w:val="20"/>
        </w:rPr>
        <w:t xml:space="preserve">J2008013865401 din data 14.08.2008, CUI 24332910, EUID ROONRC.J2008013865401, </w:t>
      </w:r>
      <w:proofErr w:type="spellStart"/>
      <w:r w:rsidRPr="00837A82">
        <w:rPr>
          <w:rFonts w:ascii="UniCredit" w:hAnsi="UniCredit"/>
          <w:sz w:val="20"/>
          <w:szCs w:val="20"/>
        </w:rPr>
        <w:t>atribut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fiscal RO,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837A82">
        <w:rPr>
          <w:rFonts w:ascii="UniCredit" w:hAnsi="UniCredit"/>
          <w:sz w:val="20"/>
          <w:szCs w:val="20"/>
        </w:rPr>
        <w:t>nscris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837A82">
        <w:rPr>
          <w:rFonts w:ascii="UniCredit" w:hAnsi="UniCredit"/>
          <w:sz w:val="20"/>
          <w:szCs w:val="20"/>
        </w:rPr>
        <w:t>n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Registrul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General al </w:t>
      </w:r>
      <w:proofErr w:type="spellStart"/>
      <w:r w:rsidRPr="00837A82">
        <w:rPr>
          <w:rFonts w:ascii="UniCredit" w:hAnsi="UniCredit"/>
          <w:sz w:val="20"/>
          <w:szCs w:val="20"/>
        </w:rPr>
        <w:t>B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ncii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Na</w:t>
      </w:r>
      <w:r>
        <w:rPr>
          <w:rFonts w:ascii="UniCredit" w:hAnsi="UniCredit"/>
          <w:sz w:val="20"/>
          <w:szCs w:val="20"/>
        </w:rPr>
        <w:t>ț</w:t>
      </w:r>
      <w:r w:rsidRPr="00837A82">
        <w:rPr>
          <w:rFonts w:ascii="UniCredit" w:hAnsi="UniCredit"/>
          <w:sz w:val="20"/>
          <w:szCs w:val="20"/>
        </w:rPr>
        <w:t>ionale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a </w:t>
      </w:r>
      <w:proofErr w:type="spellStart"/>
      <w:r w:rsidRPr="00837A82">
        <w:rPr>
          <w:rFonts w:ascii="UniCredit" w:hAnsi="UniCredit"/>
          <w:sz w:val="20"/>
          <w:szCs w:val="20"/>
        </w:rPr>
        <w:t>Rom</w:t>
      </w:r>
      <w:r>
        <w:rPr>
          <w:rFonts w:ascii="UniCredit" w:hAnsi="UniCredit"/>
          <w:sz w:val="20"/>
          <w:szCs w:val="20"/>
        </w:rPr>
        <w:t>â</w:t>
      </w:r>
      <w:r w:rsidRPr="00837A82">
        <w:rPr>
          <w:rFonts w:ascii="UniCredit" w:hAnsi="UniCredit"/>
          <w:sz w:val="20"/>
          <w:szCs w:val="20"/>
        </w:rPr>
        <w:t>niei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sub </w:t>
      </w:r>
      <w:proofErr w:type="spellStart"/>
      <w:r w:rsidRPr="00837A82">
        <w:rPr>
          <w:rFonts w:ascii="UniCredit" w:hAnsi="UniCredit"/>
          <w:sz w:val="20"/>
          <w:szCs w:val="20"/>
        </w:rPr>
        <w:t>num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RG-PJR-41-110247/24.10.2008, </w:t>
      </w:r>
      <w:proofErr w:type="spellStart"/>
      <w:r w:rsidRPr="00837A82">
        <w:rPr>
          <w:rFonts w:ascii="UniCredit" w:hAnsi="UniCredit"/>
          <w:sz w:val="20"/>
          <w:szCs w:val="20"/>
        </w:rPr>
        <w:t>Registrul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Special al </w:t>
      </w:r>
      <w:proofErr w:type="spellStart"/>
      <w:r w:rsidRPr="00837A82">
        <w:rPr>
          <w:rFonts w:ascii="UniCredit" w:hAnsi="UniCredit"/>
          <w:sz w:val="20"/>
          <w:szCs w:val="20"/>
        </w:rPr>
        <w:t>B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ncii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Na</w:t>
      </w:r>
      <w:r>
        <w:rPr>
          <w:rFonts w:ascii="UniCredit" w:hAnsi="UniCredit"/>
          <w:sz w:val="20"/>
          <w:szCs w:val="20"/>
        </w:rPr>
        <w:t>ț</w:t>
      </w:r>
      <w:r w:rsidRPr="00837A82">
        <w:rPr>
          <w:rFonts w:ascii="UniCredit" w:hAnsi="UniCredit"/>
          <w:sz w:val="20"/>
          <w:szCs w:val="20"/>
        </w:rPr>
        <w:t>ionale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a </w:t>
      </w:r>
      <w:proofErr w:type="spellStart"/>
      <w:r w:rsidRPr="00837A82">
        <w:rPr>
          <w:rFonts w:ascii="UniCredit" w:hAnsi="UniCredit"/>
          <w:sz w:val="20"/>
          <w:szCs w:val="20"/>
        </w:rPr>
        <w:t>Rom</w:t>
      </w:r>
      <w:r>
        <w:rPr>
          <w:rFonts w:ascii="UniCredit" w:hAnsi="UniCredit"/>
          <w:sz w:val="20"/>
          <w:szCs w:val="20"/>
        </w:rPr>
        <w:t>â</w:t>
      </w:r>
      <w:r w:rsidRPr="00837A82">
        <w:rPr>
          <w:rFonts w:ascii="UniCredit" w:hAnsi="UniCredit"/>
          <w:sz w:val="20"/>
          <w:szCs w:val="20"/>
        </w:rPr>
        <w:t>niei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sub </w:t>
      </w:r>
      <w:proofErr w:type="spellStart"/>
      <w:r w:rsidRPr="00837A82">
        <w:rPr>
          <w:rFonts w:ascii="UniCredit" w:hAnsi="UniCredit"/>
          <w:sz w:val="20"/>
          <w:szCs w:val="20"/>
        </w:rPr>
        <w:t>num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RS-PJR-41-110065/09.02.2010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837A82">
        <w:rPr>
          <w:rFonts w:ascii="UniCredit" w:hAnsi="UniCredit"/>
          <w:sz w:val="20"/>
          <w:szCs w:val="20"/>
        </w:rPr>
        <w:t>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Registrul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B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ncii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Na</w:t>
      </w:r>
      <w:r>
        <w:rPr>
          <w:rFonts w:ascii="UniCredit" w:hAnsi="UniCredit"/>
          <w:sz w:val="20"/>
          <w:szCs w:val="20"/>
        </w:rPr>
        <w:t>ț</w:t>
      </w:r>
      <w:r w:rsidRPr="00837A82">
        <w:rPr>
          <w:rFonts w:ascii="UniCredit" w:hAnsi="UniCredit"/>
          <w:sz w:val="20"/>
          <w:szCs w:val="20"/>
        </w:rPr>
        <w:t>ionale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a </w:t>
      </w:r>
      <w:proofErr w:type="spellStart"/>
      <w:r w:rsidRPr="00837A82">
        <w:rPr>
          <w:rFonts w:ascii="UniCredit" w:hAnsi="UniCredit"/>
          <w:sz w:val="20"/>
          <w:szCs w:val="20"/>
        </w:rPr>
        <w:t>Rom</w:t>
      </w:r>
      <w:r>
        <w:rPr>
          <w:rFonts w:ascii="UniCredit" w:hAnsi="UniCredit"/>
          <w:sz w:val="20"/>
          <w:szCs w:val="20"/>
        </w:rPr>
        <w:t>â</w:t>
      </w:r>
      <w:r w:rsidRPr="00837A82">
        <w:rPr>
          <w:rFonts w:ascii="UniCredit" w:hAnsi="UniCredit"/>
          <w:sz w:val="20"/>
          <w:szCs w:val="20"/>
        </w:rPr>
        <w:t>niei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al </w:t>
      </w:r>
      <w:proofErr w:type="spellStart"/>
      <w:r w:rsidRPr="00837A82">
        <w:rPr>
          <w:rFonts w:ascii="UniCredit" w:hAnsi="UniCredit"/>
          <w:sz w:val="20"/>
          <w:szCs w:val="20"/>
        </w:rPr>
        <w:t>insti</w:t>
      </w:r>
      <w:r>
        <w:rPr>
          <w:rFonts w:ascii="UniCredit" w:hAnsi="UniCredit"/>
          <w:sz w:val="20"/>
          <w:szCs w:val="20"/>
        </w:rPr>
        <w:t>ț</w:t>
      </w:r>
      <w:r w:rsidRPr="00837A82">
        <w:rPr>
          <w:rFonts w:ascii="UniCredit" w:hAnsi="UniCredit"/>
          <w:sz w:val="20"/>
          <w:szCs w:val="20"/>
        </w:rPr>
        <w:t>utiilor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de </w:t>
      </w:r>
      <w:proofErr w:type="spellStart"/>
      <w:r w:rsidRPr="00837A82">
        <w:rPr>
          <w:rFonts w:ascii="UniCredit" w:hAnsi="UniCredit"/>
          <w:sz w:val="20"/>
          <w:szCs w:val="20"/>
        </w:rPr>
        <w:t>plat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sub </w:t>
      </w:r>
      <w:proofErr w:type="spellStart"/>
      <w:r w:rsidRPr="00837A82">
        <w:rPr>
          <w:rFonts w:ascii="UniCredit" w:hAnsi="UniCredit"/>
          <w:sz w:val="20"/>
          <w:szCs w:val="20"/>
        </w:rPr>
        <w:t>num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IP-RO-0009/02.03.2015,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837A82">
        <w:rPr>
          <w:rFonts w:ascii="UniCredit" w:hAnsi="UniCredit"/>
          <w:sz w:val="20"/>
          <w:szCs w:val="20"/>
        </w:rPr>
        <w:t>nregistrat</w:t>
      </w:r>
      <w:r>
        <w:rPr>
          <w:rFonts w:ascii="UniCredit" w:hAnsi="UniCredit"/>
          <w:sz w:val="20"/>
          <w:szCs w:val="20"/>
        </w:rPr>
        <w:t>ă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837A82">
        <w:rPr>
          <w:rFonts w:ascii="UniCredit" w:hAnsi="UniCredit"/>
          <w:sz w:val="20"/>
          <w:szCs w:val="20"/>
        </w:rPr>
        <w:t>n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Registrul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Intermediarilor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î</w:t>
      </w:r>
      <w:r w:rsidRPr="00837A82">
        <w:rPr>
          <w:rFonts w:ascii="UniCredit" w:hAnsi="UniCredit"/>
          <w:sz w:val="20"/>
          <w:szCs w:val="20"/>
        </w:rPr>
        <w:t>n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asigur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ri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persoane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juridice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sub cod RAJ 502078, cu </w:t>
      </w:r>
      <w:proofErr w:type="spellStart"/>
      <w:r w:rsidRPr="00837A82">
        <w:rPr>
          <w:rFonts w:ascii="UniCredit" w:hAnsi="UniCredit"/>
          <w:sz w:val="20"/>
          <w:szCs w:val="20"/>
        </w:rPr>
        <w:t>sediul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in </w:t>
      </w:r>
      <w:proofErr w:type="spellStart"/>
      <w:r w:rsidRPr="00837A82">
        <w:rPr>
          <w:rFonts w:ascii="UniCredit" w:hAnsi="UniCredit"/>
          <w:sz w:val="20"/>
          <w:szCs w:val="20"/>
        </w:rPr>
        <w:t>Bucure</w:t>
      </w:r>
      <w:r>
        <w:rPr>
          <w:rFonts w:ascii="UniCredit" w:hAnsi="UniCredit"/>
          <w:sz w:val="20"/>
          <w:szCs w:val="20"/>
        </w:rPr>
        <w:t>ș</w:t>
      </w:r>
      <w:r w:rsidRPr="00837A82">
        <w:rPr>
          <w:rFonts w:ascii="UniCredit" w:hAnsi="UniCredit"/>
          <w:sz w:val="20"/>
          <w:szCs w:val="20"/>
        </w:rPr>
        <w:t>ti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, sector 1, </w:t>
      </w:r>
      <w:proofErr w:type="spellStart"/>
      <w:r w:rsidRPr="00837A82">
        <w:rPr>
          <w:rFonts w:ascii="UniCredit" w:hAnsi="UniCredit"/>
          <w:sz w:val="20"/>
          <w:szCs w:val="20"/>
        </w:rPr>
        <w:t>Bulevardul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Expozi</w:t>
      </w:r>
      <w:r>
        <w:rPr>
          <w:rFonts w:ascii="UniCredit" w:hAnsi="UniCredit"/>
          <w:sz w:val="20"/>
          <w:szCs w:val="20"/>
        </w:rPr>
        <w:t>ț</w:t>
      </w:r>
      <w:r w:rsidRPr="00837A82">
        <w:rPr>
          <w:rFonts w:ascii="UniCredit" w:hAnsi="UniCredit"/>
          <w:sz w:val="20"/>
          <w:szCs w:val="20"/>
        </w:rPr>
        <w:t>iei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, nr. 1F, </w:t>
      </w:r>
      <w:proofErr w:type="spellStart"/>
      <w:r w:rsidRPr="00837A82">
        <w:rPr>
          <w:rFonts w:ascii="UniCredit" w:hAnsi="UniCredit"/>
          <w:sz w:val="20"/>
          <w:szCs w:val="20"/>
        </w:rPr>
        <w:t>etaj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6, capital social </w:t>
      </w:r>
      <w:proofErr w:type="spellStart"/>
      <w:r w:rsidRPr="00837A82">
        <w:rPr>
          <w:rFonts w:ascii="UniCredit" w:hAnsi="UniCredit"/>
          <w:sz w:val="20"/>
          <w:szCs w:val="20"/>
        </w:rPr>
        <w:t>subscris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>
        <w:rPr>
          <w:rFonts w:ascii="UniCredit" w:hAnsi="UniCredit"/>
          <w:sz w:val="20"/>
          <w:szCs w:val="20"/>
        </w:rPr>
        <w:t>ș</w:t>
      </w:r>
      <w:r w:rsidRPr="00837A82">
        <w:rPr>
          <w:rFonts w:ascii="UniCredit" w:hAnsi="UniCredit"/>
          <w:sz w:val="20"/>
          <w:szCs w:val="20"/>
        </w:rPr>
        <w:t>i</w:t>
      </w:r>
      <w:proofErr w:type="spellEnd"/>
      <w:r w:rsidRPr="00837A82">
        <w:rPr>
          <w:rFonts w:ascii="UniCredit" w:hAnsi="UniCredit"/>
          <w:sz w:val="20"/>
          <w:szCs w:val="20"/>
        </w:rPr>
        <w:t xml:space="preserve"> </w:t>
      </w:r>
      <w:proofErr w:type="spellStart"/>
      <w:r w:rsidRPr="00837A82">
        <w:rPr>
          <w:rFonts w:ascii="UniCredit" w:hAnsi="UniCredit"/>
          <w:sz w:val="20"/>
          <w:szCs w:val="20"/>
        </w:rPr>
        <w:t>v</w:t>
      </w:r>
      <w:r>
        <w:rPr>
          <w:rFonts w:ascii="UniCredit" w:hAnsi="UniCredit"/>
          <w:sz w:val="20"/>
          <w:szCs w:val="20"/>
        </w:rPr>
        <w:t>ă</w:t>
      </w:r>
      <w:r w:rsidRPr="00837A82">
        <w:rPr>
          <w:rFonts w:ascii="UniCredit" w:hAnsi="UniCredit"/>
          <w:sz w:val="20"/>
          <w:szCs w:val="20"/>
        </w:rPr>
        <w:t>rsat</w:t>
      </w:r>
      <w:proofErr w:type="spellEnd"/>
      <w:r w:rsidRPr="00837A82">
        <w:rPr>
          <w:rFonts w:ascii="UniCredit" w:hAnsi="UniCredit"/>
          <w:sz w:val="20"/>
          <w:szCs w:val="20"/>
        </w:rPr>
        <w:t>: 173.269.200 Lei</w:t>
      </w:r>
      <w:r w:rsidRPr="001A53D7">
        <w:rPr>
          <w:rFonts w:ascii="UniCredit" w:hAnsi="UniCredit"/>
          <w:sz w:val="20"/>
          <w:szCs w:val="20"/>
        </w:rPr>
        <w:t>, tel. +40 21 200 2020.</w:t>
      </w:r>
    </w:p>
    <w:p w14:paraId="56A1CFD6" w14:textId="6401ABC0" w:rsidR="00120E25" w:rsidRPr="00120E25" w:rsidRDefault="00120E25" w:rsidP="00120E25">
      <w:pPr>
        <w:rPr>
          <w:rFonts w:ascii="UniCredit" w:hAnsi="UniCredit"/>
          <w:sz w:val="20"/>
          <w:szCs w:val="20"/>
        </w:rPr>
      </w:pPr>
    </w:p>
    <w:p w14:paraId="1587BA03" w14:textId="3AF1F353" w:rsidR="00120E25" w:rsidRPr="00120E25" w:rsidRDefault="00120E25" w:rsidP="00120E25">
      <w:pPr>
        <w:rPr>
          <w:rFonts w:ascii="UniCredit" w:hAnsi="UniCredit"/>
          <w:sz w:val="20"/>
          <w:szCs w:val="20"/>
        </w:rPr>
      </w:pPr>
      <w:r w:rsidRPr="00120E25">
        <w:rPr>
          <w:rFonts w:ascii="UniCredit" w:hAnsi="UniCredit"/>
          <w:sz w:val="20"/>
          <w:szCs w:val="20"/>
        </w:rPr>
        <w:t> </w:t>
      </w:r>
    </w:p>
    <w:p w14:paraId="12F7D0C5" w14:textId="77777777" w:rsidR="00120E25" w:rsidRPr="00120E25" w:rsidRDefault="00120E25" w:rsidP="00120E25">
      <w:pPr>
        <w:rPr>
          <w:rFonts w:ascii="UniCredit" w:hAnsi="UniCredit"/>
          <w:sz w:val="20"/>
          <w:szCs w:val="20"/>
        </w:rPr>
      </w:pPr>
      <w:r w:rsidRPr="00120E25">
        <w:rPr>
          <w:rFonts w:ascii="UniCredit" w:hAnsi="UniCredit"/>
          <w:sz w:val="20"/>
          <w:szCs w:val="20"/>
        </w:rPr>
        <w:t> </w:t>
      </w:r>
    </w:p>
    <w:p w14:paraId="4810DA93" w14:textId="77777777" w:rsidR="00427D28" w:rsidRPr="008C028B" w:rsidRDefault="00427D28">
      <w:pPr>
        <w:rPr>
          <w:rFonts w:ascii="UniCredit" w:hAnsi="UniCredit"/>
          <w:sz w:val="20"/>
          <w:szCs w:val="20"/>
        </w:rPr>
      </w:pPr>
    </w:p>
    <w:sectPr w:rsidR="00427D28" w:rsidRPr="008C028B" w:rsidSect="00580D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7F9E" w14:textId="77777777" w:rsidR="0084346D" w:rsidRDefault="0084346D" w:rsidP="00120E25">
      <w:pPr>
        <w:spacing w:after="0" w:line="240" w:lineRule="auto"/>
      </w:pPr>
      <w:r>
        <w:separator/>
      </w:r>
    </w:p>
  </w:endnote>
  <w:endnote w:type="continuationSeparator" w:id="0">
    <w:p w14:paraId="0DF4F403" w14:textId="77777777" w:rsidR="0084346D" w:rsidRDefault="0084346D" w:rsidP="0012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Credit">
    <w:altName w:val="Uni Credit"/>
    <w:panose1 w:val="02000506040000020004"/>
    <w:charset w:val="00"/>
    <w:family w:val="auto"/>
    <w:pitch w:val="variable"/>
    <w:sig w:usb0="A00000AF" w:usb1="5000A06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80DE" w14:textId="3D3CCBAA" w:rsidR="008C028B" w:rsidRPr="005D754E" w:rsidRDefault="005D754E" w:rsidP="005D754E">
    <w:pPr>
      <w:pStyle w:val="Footer"/>
    </w:pPr>
    <w:fldSimple w:instr=" DOCPROPERTY bjFooterEvenPageDocProperty \* MERGEFORMAT " w:fldLock="1">
      <w:r w:rsidRPr="005D754E">
        <w:rPr>
          <w:rFonts w:ascii="Times New Roman" w:hAnsi="Times New Roman" w:cs="Times New Roman"/>
          <w:color w:val="000000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DF6C" w14:textId="73A34508" w:rsidR="008C028B" w:rsidRPr="005D754E" w:rsidRDefault="005D754E" w:rsidP="005D754E">
    <w:pPr>
      <w:pStyle w:val="Footer"/>
    </w:pPr>
    <w:fldSimple w:instr=" DOCPROPERTY bjFooterBothDocProperty \* MERGEFORMAT " w:fldLock="1">
      <w:r w:rsidRPr="005D754E">
        <w:rPr>
          <w:rFonts w:ascii="Times New Roman" w:hAnsi="Times New Roman" w:cs="Times New Roman"/>
          <w:color w:val="000000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9E65" w14:textId="3CF1BFBD" w:rsidR="008C028B" w:rsidRPr="005D754E" w:rsidRDefault="005D754E" w:rsidP="005D754E">
    <w:pPr>
      <w:pStyle w:val="Footer"/>
    </w:pPr>
    <w:fldSimple w:instr=" DOCPROPERTY bjFooterFirstPageDocProperty \* MERGEFORMAT " w:fldLock="1">
      <w:r w:rsidRPr="005D754E">
        <w:rPr>
          <w:rFonts w:ascii="Times New Roman" w:hAnsi="Times New Roman" w:cs="Times New Roman"/>
          <w:color w:val="000000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B63F" w14:textId="77777777" w:rsidR="0084346D" w:rsidRDefault="0084346D" w:rsidP="00120E25">
      <w:pPr>
        <w:spacing w:after="0" w:line="240" w:lineRule="auto"/>
      </w:pPr>
      <w:r>
        <w:separator/>
      </w:r>
    </w:p>
  </w:footnote>
  <w:footnote w:type="continuationSeparator" w:id="0">
    <w:p w14:paraId="67949B53" w14:textId="77777777" w:rsidR="0084346D" w:rsidRDefault="0084346D" w:rsidP="0012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A453" w14:textId="77777777" w:rsidR="005D754E" w:rsidRDefault="005D7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24BD" w14:textId="77777777" w:rsidR="005D754E" w:rsidRDefault="005D7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0B4B" w14:textId="77777777" w:rsidR="005D754E" w:rsidRDefault="005D7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52"/>
    <w:multiLevelType w:val="multilevel"/>
    <w:tmpl w:val="395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31A9B"/>
    <w:multiLevelType w:val="multilevel"/>
    <w:tmpl w:val="CA70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A3D9E"/>
    <w:multiLevelType w:val="multilevel"/>
    <w:tmpl w:val="0850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B20D1"/>
    <w:multiLevelType w:val="multilevel"/>
    <w:tmpl w:val="37DC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22BAA"/>
    <w:multiLevelType w:val="multilevel"/>
    <w:tmpl w:val="C39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33E16"/>
    <w:multiLevelType w:val="multilevel"/>
    <w:tmpl w:val="1BB0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680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482510">
    <w:abstractNumId w:val="1"/>
  </w:num>
  <w:num w:numId="3" w16cid:durableId="575558536">
    <w:abstractNumId w:val="4"/>
  </w:num>
  <w:num w:numId="4" w16cid:durableId="2057854543">
    <w:abstractNumId w:val="3"/>
  </w:num>
  <w:num w:numId="5" w16cid:durableId="195898890">
    <w:abstractNumId w:val="2"/>
  </w:num>
  <w:num w:numId="6" w16cid:durableId="146029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25"/>
    <w:rsid w:val="00015DBE"/>
    <w:rsid w:val="00043483"/>
    <w:rsid w:val="000539BB"/>
    <w:rsid w:val="00057101"/>
    <w:rsid w:val="00077D35"/>
    <w:rsid w:val="000D4A03"/>
    <w:rsid w:val="000E622B"/>
    <w:rsid w:val="00120E25"/>
    <w:rsid w:val="00165919"/>
    <w:rsid w:val="00171BDE"/>
    <w:rsid w:val="001A53D7"/>
    <w:rsid w:val="001B391F"/>
    <w:rsid w:val="001D18A5"/>
    <w:rsid w:val="001F1395"/>
    <w:rsid w:val="00200083"/>
    <w:rsid w:val="002266D4"/>
    <w:rsid w:val="00247A3C"/>
    <w:rsid w:val="00257C64"/>
    <w:rsid w:val="002B5917"/>
    <w:rsid w:val="003824BA"/>
    <w:rsid w:val="00427D28"/>
    <w:rsid w:val="00444E22"/>
    <w:rsid w:val="004B1365"/>
    <w:rsid w:val="004F1A17"/>
    <w:rsid w:val="005013D7"/>
    <w:rsid w:val="005167C2"/>
    <w:rsid w:val="005345A0"/>
    <w:rsid w:val="00580DB4"/>
    <w:rsid w:val="00583F0C"/>
    <w:rsid w:val="005D754E"/>
    <w:rsid w:val="005F0E44"/>
    <w:rsid w:val="00607701"/>
    <w:rsid w:val="00616CB2"/>
    <w:rsid w:val="00622CB7"/>
    <w:rsid w:val="00624D93"/>
    <w:rsid w:val="006357C3"/>
    <w:rsid w:val="00655014"/>
    <w:rsid w:val="006E46DC"/>
    <w:rsid w:val="00705FB7"/>
    <w:rsid w:val="007646A2"/>
    <w:rsid w:val="007B1560"/>
    <w:rsid w:val="007F7CB0"/>
    <w:rsid w:val="0084346D"/>
    <w:rsid w:val="008456AC"/>
    <w:rsid w:val="008A0BE5"/>
    <w:rsid w:val="008C028B"/>
    <w:rsid w:val="008F22CE"/>
    <w:rsid w:val="00967DC8"/>
    <w:rsid w:val="00A16C6D"/>
    <w:rsid w:val="00A175E8"/>
    <w:rsid w:val="00A82420"/>
    <w:rsid w:val="00AA5810"/>
    <w:rsid w:val="00AB2B58"/>
    <w:rsid w:val="00AC37C5"/>
    <w:rsid w:val="00AD6D90"/>
    <w:rsid w:val="00B241F1"/>
    <w:rsid w:val="00B56CC7"/>
    <w:rsid w:val="00B61C1D"/>
    <w:rsid w:val="00BC0375"/>
    <w:rsid w:val="00C23AB4"/>
    <w:rsid w:val="00C35C08"/>
    <w:rsid w:val="00D51456"/>
    <w:rsid w:val="00D62FA6"/>
    <w:rsid w:val="00D65E40"/>
    <w:rsid w:val="00DB4317"/>
    <w:rsid w:val="00DB58FA"/>
    <w:rsid w:val="00DB75E1"/>
    <w:rsid w:val="00DC478C"/>
    <w:rsid w:val="00DE47FF"/>
    <w:rsid w:val="00E144CB"/>
    <w:rsid w:val="00E45361"/>
    <w:rsid w:val="00EA1E8B"/>
    <w:rsid w:val="00EA643E"/>
    <w:rsid w:val="00EE6B0B"/>
    <w:rsid w:val="00F110F4"/>
    <w:rsid w:val="00FA0F70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41273"/>
  <w15:chartTrackingRefBased/>
  <w15:docId w15:val="{A3D549C4-7818-42E8-8A75-CADD6A1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2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0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E25"/>
  </w:style>
  <w:style w:type="paragraph" w:styleId="Footer">
    <w:name w:val="footer"/>
    <w:basedOn w:val="Normal"/>
    <w:link w:val="FooterChar"/>
    <w:uiPriority w:val="99"/>
    <w:unhideWhenUsed/>
    <w:rsid w:val="00120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E25"/>
  </w:style>
  <w:style w:type="character" w:styleId="Hyperlink">
    <w:name w:val="Hyperlink"/>
    <w:basedOn w:val="DefaultParagraphFont"/>
    <w:uiPriority w:val="99"/>
    <w:unhideWhenUsed/>
    <w:rsid w:val="00120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E25"/>
    <w:rPr>
      <w:color w:val="605E5C"/>
      <w:shd w:val="clear" w:color="auto" w:fill="E1DFDD"/>
    </w:rPr>
  </w:style>
  <w:style w:type="paragraph" w:customStyle="1" w:styleId="Default">
    <w:name w:val="Default"/>
    <w:rsid w:val="006E46DC"/>
    <w:pPr>
      <w:autoSpaceDE w:val="0"/>
      <w:autoSpaceDN w:val="0"/>
      <w:adjustRightInd w:val="0"/>
      <w:spacing w:after="0" w:line="240" w:lineRule="auto"/>
    </w:pPr>
    <w:rPr>
      <w:rFonts w:ascii="UniCredit" w:hAnsi="UniCredit" w:cs="UniCredi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fin.ro/despre-no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fin.ro/pdf/protectia-datelor/UCFIN-Informare-privind-prelucrarea-datelor-personale-in-contextul-creditarii-la-distanta.pdf?v=1_27.10.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cfin.ro/modalitati-de-pla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d266e9e-4504-4528-b5c2-947868daa3cc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ABCE8555-63FD-40CD-A063-E285AA5B65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UniCredit Bank Romania S.A.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Tanas-Cezar (UniCredit Consumer Financing IFN S.A.)</dc:creator>
  <cp:keywords/>
  <dc:description/>
  <cp:lastModifiedBy>FURTUNA Ioana-Andreea (UniCredit Consumer Financing IFN S.A.)</cp:lastModifiedBy>
  <cp:revision>5</cp:revision>
  <dcterms:created xsi:type="dcterms:W3CDTF">2026-04-23T09:28:00Z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97c54e56-e84b-44aa-9f92-9f483e800a47</vt:lpwstr>
  </property>
  <property fmtid="{D5CDD505-2E9C-101B-9397-08002B2CF9AE}" pid="3" name="bjSaver">
    <vt:lpwstr>XhDO50sHL5u4CDqdS0Z/jyMuF+smjkeR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policy="bd266e9e-4504-4528-b5c2-947868daa3cc"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Public</vt:lpwstr>
  </property>
  <property fmtid="{D5CDD505-2E9C-101B-9397-08002B2CF9AE}" pid="7" name="UniCreditClassification">
    <vt:lpwstr>Public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  <property fmtid="{D5CDD505-2E9C-101B-9397-08002B2CF9AE}" pid="11" name="MSIP_Label_29db9e61-aac5-4f6e-805d-ceb8cb9983a1_Enabled">
    <vt:lpwstr>true</vt:lpwstr>
  </property>
  <property fmtid="{D5CDD505-2E9C-101B-9397-08002B2CF9AE}" pid="12" name="MSIP_Label_29db9e61-aac5-4f6e-805d-ceb8cb9983a1_SetDate">
    <vt:lpwstr>2025-10-24T12:57:15Z</vt:lpwstr>
  </property>
  <property fmtid="{D5CDD505-2E9C-101B-9397-08002B2CF9AE}" pid="13" name="MSIP_Label_29db9e61-aac5-4f6e-805d-ceb8cb9983a1_Method">
    <vt:lpwstr>Standard</vt:lpwstr>
  </property>
  <property fmtid="{D5CDD505-2E9C-101B-9397-08002B2CF9AE}" pid="14" name="MSIP_Label_29db9e61-aac5-4f6e-805d-ceb8cb9983a1_Name">
    <vt:lpwstr>UniCredit - Internal Use Only - no visual markings</vt:lpwstr>
  </property>
  <property fmtid="{D5CDD505-2E9C-101B-9397-08002B2CF9AE}" pid="15" name="MSIP_Label_29db9e61-aac5-4f6e-805d-ceb8cb9983a1_SiteId">
    <vt:lpwstr>2cc49ce9-66a1-41ac-a96b-bdc54247696a</vt:lpwstr>
  </property>
  <property fmtid="{D5CDD505-2E9C-101B-9397-08002B2CF9AE}" pid="16" name="MSIP_Label_29db9e61-aac5-4f6e-805d-ceb8cb9983a1_ActionId">
    <vt:lpwstr>e80444d3-1f91-4409-9fd7-cc543a62acb5</vt:lpwstr>
  </property>
  <property fmtid="{D5CDD505-2E9C-101B-9397-08002B2CF9AE}" pid="17" name="MSIP_Label_29db9e61-aac5-4f6e-805d-ceb8cb9983a1_ContentBits">
    <vt:lpwstr>0</vt:lpwstr>
  </property>
</Properties>
</file>